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9DE" w:rsidRDefault="00591DA4">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w:t>
      </w:r>
      <w:r>
        <w:rPr>
          <w:rFonts w:cs="Arial" w:hint="eastAsia"/>
          <w:sz w:val="22"/>
        </w:rPr>
        <w:t xml:space="preserve"> </w:t>
      </w:r>
      <w:r>
        <w:rPr>
          <w:rFonts w:cs="Arial"/>
          <w:sz w:val="22"/>
        </w:rPr>
        <w:t>#11</w:t>
      </w:r>
      <w:r>
        <w:rPr>
          <w:rFonts w:cs="Arial" w:hint="eastAsia"/>
          <w:sz w:val="22"/>
        </w:rPr>
        <w:t>8</w:t>
      </w:r>
      <w:r>
        <w:rPr>
          <w:rFonts w:cs="Arial" w:hint="eastAsia"/>
          <w:sz w:val="22"/>
        </w:rPr>
        <w:t>bis</w:t>
      </w:r>
      <w:r>
        <w:rPr>
          <w:rFonts w:cs="Arial"/>
          <w:sz w:val="22"/>
        </w:rPr>
        <w:t xml:space="preserve">                                   </w:t>
      </w:r>
      <w:r w:rsidR="00C40234">
        <w:rPr>
          <w:rFonts w:cs="Arial"/>
          <w:sz w:val="22"/>
        </w:rPr>
        <w:t xml:space="preserve"> </w:t>
      </w:r>
      <w:r>
        <w:rPr>
          <w:rFonts w:cs="Arial"/>
          <w:sz w:val="22"/>
        </w:rPr>
        <w:t xml:space="preserve">          R1-</w:t>
      </w:r>
      <w:r w:rsidR="00C40234">
        <w:rPr>
          <w:rFonts w:cs="Arial"/>
          <w:sz w:val="22"/>
        </w:rPr>
        <w:t>2407934</w:t>
      </w:r>
    </w:p>
    <w:p w:rsidR="008119DE" w:rsidRDefault="00591DA4">
      <w:pPr>
        <w:rPr>
          <w:rFonts w:ascii="Arial" w:eastAsia="宋体" w:hAnsi="Arial" w:cs="Arial"/>
          <w:b/>
          <w:kern w:val="2"/>
        </w:rPr>
      </w:pPr>
      <w:r>
        <w:rPr>
          <w:rFonts w:ascii="Arial" w:eastAsia="宋体" w:hAnsi="Arial" w:cs="Arial" w:hint="eastAsia"/>
          <w:b/>
          <w:bCs/>
          <w:kern w:val="2"/>
        </w:rPr>
        <w:t>Hefei</w:t>
      </w:r>
      <w:r>
        <w:rPr>
          <w:rFonts w:ascii="Arial" w:eastAsia="宋体" w:hAnsi="Arial" w:cs="Arial" w:hint="eastAsia"/>
          <w:b/>
          <w:bCs/>
          <w:kern w:val="2"/>
        </w:rPr>
        <w:t xml:space="preserve">, </w:t>
      </w:r>
      <w:r>
        <w:rPr>
          <w:rFonts w:ascii="Arial" w:eastAsia="宋体" w:hAnsi="Arial" w:cs="Arial" w:hint="eastAsia"/>
          <w:b/>
          <w:bCs/>
          <w:kern w:val="2"/>
        </w:rPr>
        <w:t>China</w:t>
      </w:r>
      <w:r>
        <w:rPr>
          <w:rFonts w:ascii="Arial" w:eastAsia="宋体" w:hAnsi="Arial" w:cs="Arial" w:hint="eastAsia"/>
          <w:b/>
          <w:bCs/>
          <w:kern w:val="2"/>
        </w:rPr>
        <w:t xml:space="preserve">, </w:t>
      </w:r>
      <w:r>
        <w:rPr>
          <w:rFonts w:ascii="Arial" w:eastAsia="宋体" w:hAnsi="Arial" w:cs="Arial" w:hint="eastAsia"/>
          <w:b/>
          <w:bCs/>
          <w:kern w:val="2"/>
        </w:rPr>
        <w:t xml:space="preserve">October </w:t>
      </w:r>
      <w:r>
        <w:rPr>
          <w:rFonts w:ascii="Arial" w:eastAsia="宋体" w:hAnsi="Arial" w:cs="Arial" w:hint="eastAsia"/>
          <w:b/>
          <w:bCs/>
          <w:kern w:val="2"/>
        </w:rPr>
        <w:t>1</w:t>
      </w:r>
      <w:r>
        <w:rPr>
          <w:rFonts w:ascii="Arial" w:eastAsia="宋体" w:hAnsi="Arial" w:cs="Arial" w:hint="eastAsia"/>
          <w:b/>
          <w:bCs/>
          <w:kern w:val="2"/>
        </w:rPr>
        <w:t>4</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18</w:t>
      </w:r>
      <w:r>
        <w:rPr>
          <w:rFonts w:ascii="Arial" w:eastAsia="宋体" w:hAnsi="Arial" w:cs="Arial" w:hint="eastAsia"/>
          <w:b/>
          <w:bCs/>
          <w:kern w:val="2"/>
          <w:vertAlign w:val="superscript"/>
        </w:rPr>
        <w:t>th</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rsidR="008119DE" w:rsidRDefault="00591DA4">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rsidR="008119DE" w:rsidRDefault="00591DA4">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support of RedCap/eRedCap UEs for NR NTN</w:t>
      </w:r>
    </w:p>
    <w:p w:rsidR="008119DE" w:rsidRDefault="00591DA4">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rsidR="008119DE" w:rsidRDefault="00591DA4">
      <w:pPr>
        <w:pBdr>
          <w:bottom w:val="single" w:sz="6" w:space="1" w:color="auto"/>
        </w:pBdr>
        <w:snapToGrid w:val="0"/>
        <w:jc w:val="both"/>
        <w:rPr>
          <w:rFonts w:ascii="Arial" w:hAnsi="Arial"/>
          <w:b/>
        </w:rPr>
      </w:pPr>
      <w:r>
        <w:rPr>
          <w:rFonts w:ascii="Arial" w:hAnsi="Arial"/>
          <w:b/>
        </w:rPr>
        <w:t xml:space="preserve">Document for: </w:t>
      </w:r>
      <w:r>
        <w:rPr>
          <w:rFonts w:ascii="Arial" w:hAnsi="Arial"/>
          <w:b/>
        </w:rPr>
        <w:t>Discussion</w:t>
      </w:r>
      <w:bookmarkEnd w:id="0"/>
      <w:bookmarkEnd w:id="1"/>
    </w:p>
    <w:p w:rsidR="008119DE" w:rsidRDefault="00591DA4">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8119DE" w:rsidRDefault="00591DA4">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hint="eastAsia"/>
          <w:sz w:val="20"/>
          <w:szCs w:val="20"/>
        </w:rPr>
        <w:t>the updated WID</w:t>
      </w:r>
      <w:r>
        <w:rPr>
          <w:rFonts w:ascii="Times New Roman" w:eastAsia="宋体" w:hAnsi="Times New Roman" w:cs="Times New Roman" w:hint="eastAsia"/>
          <w:sz w:val="20"/>
          <w:szCs w:val="20"/>
        </w:rPr>
        <w:t xml:space="preserve"> [1]</w:t>
      </w:r>
      <w:r>
        <w:rPr>
          <w:rFonts w:ascii="Times New Roman" w:eastAsia="宋体" w:hAnsi="Times New Roman" w:cs="Times New Roman" w:hint="eastAsia"/>
          <w:sz w:val="20"/>
          <w:szCs w:val="20"/>
        </w:rPr>
        <w:t xml:space="preserve">, only HD-FDD collisions cases 3 and </w:t>
      </w:r>
      <w:r>
        <w:rPr>
          <w:rFonts w:ascii="Times New Roman" w:eastAsia="宋体" w:hAnsi="Times New Roman" w:cs="Times New Roman" w:hint="eastAsia"/>
          <w:sz w:val="20"/>
          <w:szCs w:val="20"/>
        </w:rPr>
        <w:t xml:space="preserve">case </w:t>
      </w:r>
      <w:r>
        <w:rPr>
          <w:rFonts w:ascii="Times New Roman" w:eastAsia="宋体" w:hAnsi="Times New Roman" w:cs="Times New Roman" w:hint="eastAsia"/>
          <w:sz w:val="20"/>
          <w:szCs w:val="20"/>
        </w:rPr>
        <w:t>4 have been identified to be enhanced in RAN1.</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In RAN1#11</w:t>
      </w:r>
      <w:r>
        <w:rPr>
          <w:rFonts w:ascii="Times New Roman" w:eastAsia="宋体" w:hAnsi="Times New Roman" w:cs="Times New Roman" w:hint="eastAsia"/>
          <w:sz w:val="20"/>
          <w:szCs w:val="20"/>
        </w:rPr>
        <w:t>8</w:t>
      </w:r>
      <w:r>
        <w:rPr>
          <w:rFonts w:ascii="Times New Roman" w:eastAsia="宋体" w:hAnsi="Times New Roman" w:cs="Times New Roman"/>
          <w:sz w:val="20"/>
          <w:szCs w:val="20"/>
        </w:rPr>
        <w:t xml:space="preserve"> meeting,</w:t>
      </w:r>
      <w:r>
        <w:rPr>
          <w:rFonts w:ascii="Times New Roman" w:eastAsia="宋体" w:hAnsi="Times New Roman" w:cs="Times New Roman" w:hint="eastAsia"/>
          <w:sz w:val="20"/>
          <w:szCs w:val="20"/>
        </w:rPr>
        <w:t xml:space="preserve"> various solutions for mitigating collisions case 3 and case 4</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were </w:t>
      </w:r>
      <w:r>
        <w:rPr>
          <w:rFonts w:ascii="Times New Roman" w:eastAsia="宋体" w:hAnsi="Times New Roman" w:cs="Times New Roman"/>
          <w:sz w:val="20"/>
          <w:szCs w:val="20"/>
        </w:rPr>
        <w:t xml:space="preserve">discussed and </w:t>
      </w:r>
      <w:r>
        <w:rPr>
          <w:rFonts w:ascii="Times New Roman" w:eastAsia="宋体" w:hAnsi="Times New Roman" w:cs="Times New Roman" w:hint="eastAsia"/>
          <w:sz w:val="20"/>
          <w:szCs w:val="20"/>
        </w:rPr>
        <w:t xml:space="preserve">then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following </w:t>
      </w:r>
      <w:r>
        <w:rPr>
          <w:rFonts w:ascii="Times New Roman" w:eastAsia="宋体" w:hAnsi="Times New Roman" w:cs="Times New Roman" w:hint="eastAsia"/>
          <w:sz w:val="20"/>
          <w:szCs w:val="20"/>
        </w:rPr>
        <w:t>agreements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were </w:t>
      </w:r>
      <w:r>
        <w:rPr>
          <w:rFonts w:ascii="Times New Roman" w:eastAsia="宋体" w:hAnsi="Times New Roman" w:cs="Times New Roman"/>
          <w:sz w:val="20"/>
          <w:szCs w:val="20"/>
        </w:rPr>
        <w:t>achieved</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t>]</w:t>
      </w:r>
      <w:r>
        <w:rPr>
          <w:rFonts w:ascii="Times New Roman" w:eastAsia="宋体" w:hAnsi="Times New Roman" w:cs="Times New Roman"/>
          <w:sz w:val="20"/>
          <w:szCs w:val="20"/>
        </w:rPr>
        <w:t>.</w:t>
      </w:r>
    </w:p>
    <w:tbl>
      <w:tblPr>
        <w:tblStyle w:val="af2"/>
        <w:tblW w:w="0" w:type="auto"/>
        <w:tblInd w:w="107" w:type="dxa"/>
        <w:tblLook w:val="04A0" w:firstRow="1" w:lastRow="0" w:firstColumn="1" w:lastColumn="0" w:noHBand="0" w:noVBand="1"/>
      </w:tblPr>
      <w:tblGrid>
        <w:gridCol w:w="9243"/>
      </w:tblGrid>
      <w:tr w:rsidR="008119DE">
        <w:tc>
          <w:tcPr>
            <w:tcW w:w="9243" w:type="dxa"/>
          </w:tcPr>
          <w:p w:rsidR="008119DE" w:rsidRDefault="00591DA4">
            <w:pPr>
              <w:spacing w:after="0" w:line="260" w:lineRule="auto"/>
              <w:rPr>
                <w:rFonts w:ascii="Times New Roman" w:hAnsi="Times New Roman" w:cs="Times New Roman"/>
                <w:sz w:val="20"/>
                <w:szCs w:val="20"/>
                <w:lang w:eastAsia="ko-KR"/>
              </w:rPr>
            </w:pPr>
            <w:r>
              <w:rPr>
                <w:rFonts w:ascii="Times New Roman" w:hAnsi="Times New Roman" w:cs="Times New Roman"/>
                <w:sz w:val="20"/>
                <w:szCs w:val="20"/>
                <w:highlight w:val="green"/>
                <w:lang w:eastAsia="ko-KR"/>
              </w:rPr>
              <w:t>Agreement</w:t>
            </w:r>
          </w:p>
          <w:p w:rsidR="008119DE" w:rsidRDefault="00591DA4">
            <w:pPr>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The collision case 3 (</w:t>
            </w:r>
            <w:r>
              <w:rPr>
                <w:rFonts w:ascii="Times New Roman" w:hAnsi="Times New Roman" w:cs="Times New Roman"/>
                <w:kern w:val="2"/>
                <w:sz w:val="20"/>
                <w:szCs w:val="20"/>
              </w:rPr>
              <w:t xml:space="preserve">Semi-statically configured DL reception </w:t>
            </w:r>
            <w:r>
              <w:rPr>
                <w:rFonts w:ascii="Times New Roman" w:hAnsi="Times New Roman" w:cs="Times New Roman"/>
                <w:kern w:val="2"/>
                <w:sz w:val="20"/>
                <w:szCs w:val="20"/>
              </w:rPr>
              <w:t xml:space="preserve">collides with </w:t>
            </w:r>
            <w:r>
              <w:rPr>
                <w:rFonts w:ascii="Times New Roman" w:hAnsi="Times New Roman" w:cs="Times New Roman"/>
                <w:kern w:val="2"/>
                <w:sz w:val="20"/>
                <w:szCs w:val="20"/>
              </w:rPr>
              <w:t>semi-statically configured UL transmission</w:t>
            </w:r>
            <w:r>
              <w:rPr>
                <w:rFonts w:ascii="Times New Roman" w:eastAsia="宋体" w:hAnsi="Times New Roman" w:cs="Times New Roman"/>
                <w:sz w:val="20"/>
                <w:szCs w:val="20"/>
              </w:rPr>
              <w:t xml:space="preserve">) can’t be assumed as error case. When the collision happens at UE side for collision case 3, one </w:t>
            </w:r>
            <w:r>
              <w:rPr>
                <w:rFonts w:ascii="Times New Roman" w:eastAsia="宋体" w:hAnsi="Times New Roman" w:cs="Times New Roman"/>
                <w:sz w:val="20"/>
                <w:szCs w:val="20"/>
              </w:rPr>
              <w:t>of the following options on priority rules is supported.</w:t>
            </w:r>
          </w:p>
          <w:p w:rsidR="008119DE" w:rsidRDefault="00591DA4">
            <w:pPr>
              <w:numPr>
                <w:ilvl w:val="0"/>
                <w:numId w:val="4"/>
              </w:numPr>
              <w:suppressAutoHyphens/>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Option A: the priority of keeping one direction and overriding another direction is based on different use cases (e.g. the collision happening in different channel types or different scheduling cases</w:t>
            </w:r>
            <w:r>
              <w:rPr>
                <w:rFonts w:ascii="Times New Roman" w:eastAsia="宋体" w:hAnsi="Times New Roman" w:cs="Times New Roman"/>
                <w:sz w:val="20"/>
                <w:szCs w:val="20"/>
              </w:rPr>
              <w:t xml:space="preserve">) without </w:t>
            </w:r>
            <w:r>
              <w:rPr>
                <w:rFonts w:ascii="Times New Roman" w:hAnsi="Times New Roman" w:cs="Times New Roman"/>
                <w:sz w:val="20"/>
                <w:szCs w:val="20"/>
              </w:rPr>
              <w:t>network</w:t>
            </w:r>
            <w:r>
              <w:rPr>
                <w:rFonts w:ascii="Times New Roman" w:eastAsia="宋体" w:hAnsi="Times New Roman" w:cs="Times New Roman"/>
                <w:sz w:val="20"/>
                <w:szCs w:val="20"/>
              </w:rPr>
              <w:t xml:space="preserve"> </w:t>
            </w:r>
            <w:r>
              <w:rPr>
                <w:rFonts w:ascii="Times New Roman" w:hAnsi="Times New Roman" w:cs="Times New Roman"/>
                <w:sz w:val="20"/>
                <w:szCs w:val="20"/>
              </w:rPr>
              <w:t>signalling</w:t>
            </w:r>
          </w:p>
          <w:p w:rsidR="008119DE" w:rsidRDefault="00591DA4">
            <w:pPr>
              <w:numPr>
                <w:ilvl w:val="1"/>
                <w:numId w:val="4"/>
              </w:numPr>
              <w:suppressAutoHyphens/>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that some or all use cases are left to UE implementation regarding whether DL reception or UL transmission is dropped</w:t>
            </w:r>
          </w:p>
          <w:p w:rsidR="008119DE" w:rsidRDefault="00591DA4">
            <w:pPr>
              <w:numPr>
                <w:ilvl w:val="1"/>
                <w:numId w:val="4"/>
              </w:numPr>
              <w:suppressAutoHyphens/>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Note: it is not precluded that the same direction is prioritized for all different use </w:t>
            </w:r>
            <w:r>
              <w:rPr>
                <w:rFonts w:ascii="Times New Roman" w:eastAsia="宋体" w:hAnsi="Times New Roman" w:cs="Times New Roman"/>
                <w:sz w:val="20"/>
                <w:szCs w:val="20"/>
              </w:rPr>
              <w:t>cases</w:t>
            </w:r>
          </w:p>
          <w:p w:rsidR="008119DE" w:rsidRDefault="00591DA4">
            <w:pPr>
              <w:numPr>
                <w:ilvl w:val="0"/>
                <w:numId w:val="4"/>
              </w:numPr>
              <w:suppressAutoHyphens/>
              <w:spacing w:after="0" w:line="260" w:lineRule="auto"/>
              <w:rPr>
                <w:rFonts w:ascii="Times New Roman" w:hAnsi="Times New Roman" w:cs="Times New Roman"/>
                <w:sz w:val="20"/>
                <w:szCs w:val="20"/>
              </w:rPr>
            </w:pPr>
            <w:r>
              <w:rPr>
                <w:rFonts w:ascii="Times New Roman" w:eastAsia="宋体" w:hAnsi="Times New Roman" w:cs="Times New Roman"/>
                <w:sz w:val="20"/>
                <w:szCs w:val="20"/>
              </w:rPr>
              <w:t>Option B: network indicates the priority configuration to the UE</w:t>
            </w:r>
          </w:p>
          <w:p w:rsidR="008119DE" w:rsidRDefault="00591DA4">
            <w:pPr>
              <w:numPr>
                <w:ilvl w:val="1"/>
                <w:numId w:val="4"/>
              </w:numPr>
              <w:suppressAutoHyphens/>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that some use cases are left to UE implementation regarding whether DL reception or UL transmission is dropped</w:t>
            </w:r>
          </w:p>
          <w:p w:rsidR="008119DE" w:rsidRDefault="00591DA4">
            <w:pPr>
              <w:numPr>
                <w:ilvl w:val="1"/>
                <w:numId w:val="4"/>
              </w:numPr>
              <w:suppressAutoHyphens/>
              <w:spacing w:after="0" w:line="26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to define default rules, if necess</w:t>
            </w:r>
            <w:r>
              <w:rPr>
                <w:rFonts w:ascii="Times New Roman" w:eastAsia="宋体" w:hAnsi="Times New Roman" w:cs="Times New Roman"/>
                <w:sz w:val="20"/>
                <w:szCs w:val="20"/>
              </w:rPr>
              <w:t>ary</w:t>
            </w:r>
          </w:p>
          <w:p w:rsidR="008119DE" w:rsidRDefault="008119DE">
            <w:pPr>
              <w:spacing w:after="0" w:line="260" w:lineRule="auto"/>
              <w:rPr>
                <w:rFonts w:ascii="Times New Roman" w:hAnsi="Times New Roman" w:cs="Times New Roman"/>
                <w:sz w:val="20"/>
                <w:szCs w:val="20"/>
                <w:highlight w:val="yellow"/>
              </w:rPr>
            </w:pPr>
          </w:p>
          <w:p w:rsidR="008119DE" w:rsidRDefault="00591DA4">
            <w:pPr>
              <w:adjustRightInd w:val="0"/>
              <w:snapToGrid w:val="0"/>
              <w:spacing w:after="0" w:line="260" w:lineRule="auto"/>
              <w:rPr>
                <w:rFonts w:ascii="Times New Roman" w:eastAsia="宋体" w:hAnsi="Times New Roman" w:cs="Times New Roman"/>
                <w:sz w:val="20"/>
                <w:szCs w:val="20"/>
                <w:highlight w:val="green"/>
              </w:rPr>
            </w:pPr>
            <w:r>
              <w:rPr>
                <w:rFonts w:ascii="Times New Roman" w:eastAsia="宋体" w:hAnsi="Times New Roman" w:cs="Times New Roman"/>
                <w:sz w:val="20"/>
                <w:szCs w:val="20"/>
                <w:highlight w:val="green"/>
              </w:rPr>
              <w:t>Agreement</w:t>
            </w:r>
          </w:p>
          <w:p w:rsidR="008119DE" w:rsidRDefault="00591DA4">
            <w:pPr>
              <w:adjustRightInd w:val="0"/>
              <w:snapToGrid w:val="0"/>
              <w:spacing w:after="0" w:line="260" w:lineRule="auto"/>
              <w:rPr>
                <w:rFonts w:ascii="Times New Roman" w:hAnsi="Times New Roman" w:cs="Times New Roman"/>
                <w:bCs/>
                <w:sz w:val="20"/>
                <w:szCs w:val="20"/>
              </w:rPr>
            </w:pPr>
            <w:r>
              <w:rPr>
                <w:rFonts w:ascii="Times New Roman" w:hAnsi="Times New Roman" w:cs="Times New Roman"/>
                <w:sz w:val="20"/>
                <w:szCs w:val="20"/>
              </w:rPr>
              <w:t xml:space="preserve">To </w:t>
            </w:r>
            <w:r>
              <w:rPr>
                <w:rFonts w:ascii="Times New Roman" w:eastAsia="宋体" w:hAnsi="Times New Roman" w:cs="Times New Roman"/>
                <w:sz w:val="20"/>
                <w:szCs w:val="20"/>
              </w:rPr>
              <w:t>mitigate t</w:t>
            </w:r>
            <w:r>
              <w:rPr>
                <w:rFonts w:ascii="Times New Roman" w:hAnsi="Times New Roman" w:cs="Times New Roman"/>
                <w:sz w:val="20"/>
                <w:szCs w:val="20"/>
              </w:rPr>
              <w:t xml:space="preserve">he collisions of case3 and case4, </w:t>
            </w:r>
            <w:r>
              <w:rPr>
                <w:rFonts w:ascii="Times New Roman" w:eastAsia="宋体" w:hAnsi="Times New Roman" w:cs="Times New Roman"/>
                <w:sz w:val="20"/>
                <w:szCs w:val="20"/>
              </w:rPr>
              <w:t xml:space="preserve">the following TA reporting enhancements for Rel-19 NTN HD-FDD (e)Redcap UE can be further studied: </w:t>
            </w:r>
          </w:p>
          <w:p w:rsidR="008119DE" w:rsidRDefault="00591DA4">
            <w:pPr>
              <w:pStyle w:val="af6"/>
              <w:numPr>
                <w:ilvl w:val="0"/>
                <w:numId w:val="5"/>
              </w:numPr>
              <w:spacing w:after="0" w:line="260" w:lineRule="auto"/>
              <w:ind w:left="1237" w:hanging="357"/>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8119DE" w:rsidRDefault="00591DA4">
            <w:pPr>
              <w:pStyle w:val="af6"/>
              <w:numPr>
                <w:ilvl w:val="0"/>
                <w:numId w:val="5"/>
              </w:numPr>
              <w:spacing w:after="0" w:line="260" w:lineRule="auto"/>
              <w:ind w:left="1237" w:hanging="357"/>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8119DE" w:rsidRDefault="00591DA4">
            <w:pPr>
              <w:pStyle w:val="af6"/>
              <w:numPr>
                <w:ilvl w:val="0"/>
                <w:numId w:val="5"/>
              </w:numPr>
              <w:spacing w:after="0" w:line="260" w:lineRule="auto"/>
              <w:ind w:left="1237" w:hanging="357"/>
              <w:rPr>
                <w:rFonts w:ascii="Times New Roman" w:hAnsi="Times New Roman" w:cs="Times New Roman"/>
                <w:sz w:val="20"/>
                <w:szCs w:val="20"/>
              </w:rPr>
            </w:pPr>
            <w:r>
              <w:rPr>
                <w:rFonts w:ascii="Times New Roman" w:hAnsi="Times New Roman" w:cs="Times New Roman"/>
                <w:sz w:val="20"/>
                <w:szCs w:val="20"/>
              </w:rPr>
              <w:t xml:space="preserve">Trigger a TA report when the </w:t>
            </w:r>
            <w:r>
              <w:rPr>
                <w:rFonts w:ascii="Times New Roman" w:hAnsi="Times New Roman" w:cs="Times New Roman"/>
                <w:sz w:val="20"/>
                <w:szCs w:val="20"/>
              </w:rPr>
              <w:t>collision is detected at the UE</w:t>
            </w:r>
          </w:p>
          <w:p w:rsidR="008119DE" w:rsidRDefault="00591DA4">
            <w:pPr>
              <w:pStyle w:val="af6"/>
              <w:numPr>
                <w:ilvl w:val="0"/>
                <w:numId w:val="5"/>
              </w:numPr>
              <w:spacing w:after="0" w:line="260" w:lineRule="auto"/>
              <w:ind w:left="1237" w:hanging="357"/>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8119DE" w:rsidRDefault="00591DA4">
            <w:pPr>
              <w:pStyle w:val="af6"/>
              <w:numPr>
                <w:ilvl w:val="0"/>
                <w:numId w:val="5"/>
              </w:numPr>
              <w:spacing w:after="0" w:line="260" w:lineRule="auto"/>
              <w:ind w:left="1237" w:hanging="357"/>
              <w:rPr>
                <w:rFonts w:ascii="Times New Roman" w:hAnsi="Times New Roman" w:cs="Times New Roman"/>
                <w:sz w:val="20"/>
                <w:szCs w:val="20"/>
              </w:rPr>
            </w:pPr>
            <w:r>
              <w:rPr>
                <w:rFonts w:ascii="Times New Roman" w:hAnsi="Times New Roman" w:cs="Times New Roman"/>
                <w:sz w:val="20"/>
                <w:szCs w:val="20"/>
              </w:rPr>
              <w:t>TA drifting rate reporting</w:t>
            </w:r>
          </w:p>
          <w:p w:rsidR="008119DE" w:rsidRDefault="00591DA4">
            <w:pPr>
              <w:spacing w:after="0" w:line="260" w:lineRule="auto"/>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hAnsi="Times New Roman" w:cs="Times New Roman"/>
                <w:sz w:val="20"/>
                <w:szCs w:val="20"/>
              </w:rPr>
              <w:t xml:space="preserve">The benefit, </w:t>
            </w:r>
            <w:r>
              <w:rPr>
                <w:rFonts w:ascii="Times New Roman" w:hAnsi="Times New Roman" w:cs="Times New Roman"/>
                <w:sz w:val="20"/>
                <w:szCs w:val="20"/>
              </w:rPr>
              <w:t xml:space="preserve">complexity, power consumption and signaling overhead </w:t>
            </w:r>
            <w:r>
              <w:rPr>
                <w:rFonts w:ascii="Times New Roman" w:hAnsi="Times New Roman" w:cs="Times New Roman"/>
                <w:sz w:val="20"/>
                <w:szCs w:val="20"/>
              </w:rPr>
              <w:t xml:space="preserve">of each scheme is to be further </w:t>
            </w:r>
            <w:r>
              <w:rPr>
                <w:rFonts w:ascii="Times New Roman" w:hAnsi="Times New Roman" w:cs="Times New Roman"/>
                <w:sz w:val="20"/>
                <w:szCs w:val="20"/>
              </w:rPr>
              <w:t>investigated</w:t>
            </w:r>
            <w:r>
              <w:rPr>
                <w:rFonts w:ascii="Times New Roman" w:hAnsi="Times New Roman" w:cs="Times New Roman"/>
                <w:sz w:val="20"/>
                <w:szCs w:val="20"/>
              </w:rPr>
              <w:t>.</w:t>
            </w:r>
          </w:p>
          <w:p w:rsidR="008119DE" w:rsidRDefault="00591DA4">
            <w:pPr>
              <w:spacing w:after="0" w:line="260" w:lineRule="auto"/>
              <w:rPr>
                <w:rFonts w:ascii="Times New Roman" w:eastAsia="宋体" w:hAnsi="Times New Roman" w:cs="Times New Roman"/>
                <w:kern w:val="2"/>
                <w:sz w:val="20"/>
                <w:szCs w:val="20"/>
                <w:lang w:val="en-GB"/>
              </w:rPr>
            </w:pPr>
            <w:r>
              <w:rPr>
                <w:rFonts w:ascii="Times New Roman" w:hAnsi="Times New Roman" w:cs="Times New Roman"/>
                <w:sz w:val="20"/>
                <w:szCs w:val="20"/>
              </w:rPr>
              <w:t>Note: other solutions can</w:t>
            </w:r>
            <w:r>
              <w:rPr>
                <w:rFonts w:ascii="Times New Roman" w:hAnsi="Times New Roman" w:cs="Times New Roman"/>
                <w:sz w:val="20"/>
                <w:szCs w:val="20"/>
              </w:rPr>
              <w:t xml:space="preserve"> also be studied.</w:t>
            </w:r>
          </w:p>
        </w:tc>
      </w:tr>
    </w:tbl>
    <w:p w:rsidR="008119DE" w:rsidRDefault="00591DA4">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analysis on HD-FDD collision cases 3 and 4</w:t>
      </w:r>
      <w:r>
        <w:rPr>
          <w:rFonts w:ascii="Times New Roman" w:eastAsia="宋体" w:hAnsi="Times New Roman" w:cs="Times New Roman"/>
          <w:sz w:val="20"/>
          <w:szCs w:val="20"/>
        </w:rPr>
        <w:t xml:space="preserve"> for (e)RedCap 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8119DE" w:rsidRDefault="00591DA4">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rsidR="008119DE" w:rsidRDefault="00591DA4">
      <w:pPr>
        <w:jc w:val="both"/>
        <w:rPr>
          <w:rFonts w:ascii="Times New Roman" w:hAnsi="Times New Roman" w:cs="Times New Roman"/>
          <w:sz w:val="20"/>
          <w:szCs w:val="20"/>
        </w:rPr>
      </w:pPr>
      <w:r>
        <w:rPr>
          <w:rFonts w:ascii="Times New Roman" w:hAnsi="Times New Roman" w:cs="Times New Roman" w:hint="eastAsia"/>
          <w:sz w:val="20"/>
          <w:szCs w:val="20"/>
        </w:rPr>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[3], t</w:t>
      </w:r>
      <w:r>
        <w:rPr>
          <w:rFonts w:ascii="Times New Roman" w:hAnsi="Times New Roman" w:cs="Times New Roman"/>
          <w:sz w:val="20"/>
          <w:szCs w:val="20"/>
        </w:rPr>
        <w:t xml:space="preserve">he ratio of unavailable resource for the scheduled UE due to avoiding cases 3 and 4 is limited, especially considering that repetition transmission can be performed in NTN to handle the </w:t>
      </w:r>
      <w:r>
        <w:rPr>
          <w:rFonts w:ascii="Times New Roman" w:hAnsi="Times New Roman" w:cs="Times New Roman"/>
          <w:sz w:val="20"/>
          <w:szCs w:val="20"/>
        </w:rPr>
        <w:t>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rsidR="008119DE" w:rsidRDefault="00591DA4">
      <w:pPr>
        <w:jc w:val="center"/>
      </w:pPr>
      <w:r>
        <w:rPr>
          <w:noProof/>
        </w:rPr>
        <w:lastRenderedPageBreak/>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rsidR="008119DE" w:rsidRDefault="00591DA4">
      <w:pPr>
        <w:pStyle w:val="a3"/>
        <w:rPr>
          <w:b w:val="0"/>
        </w:rPr>
      </w:pPr>
      <w:bookmarkStart w:id="3" w:name="_Ref158021703"/>
      <w:r>
        <w:rPr>
          <w:b w:val="0"/>
        </w:rPr>
        <w:t xml:space="preserve">Figure </w:t>
      </w:r>
      <w:bookmarkEnd w:id="3"/>
      <w:r>
        <w:rPr>
          <w:rFonts w:hint="eastAsia"/>
          <w:b w:val="0"/>
          <w:lang w:val="en-US"/>
        </w:rPr>
        <w:t>1</w:t>
      </w:r>
      <w:r>
        <w:rPr>
          <w:b w:val="0"/>
        </w:rPr>
        <w:t xml:space="preserve"> Avoid UL-DL collision based on TA</w:t>
      </w:r>
    </w:p>
    <w:p w:rsidR="008119DE" w:rsidRDefault="00591DA4">
      <w:pPr>
        <w:numPr>
          <w:ilvl w:val="0"/>
          <w:numId w:val="6"/>
        </w:numPr>
        <w:spacing w:before="120" w:after="120" w:line="240" w:lineRule="auto"/>
        <w:jc w:val="both"/>
        <w:rPr>
          <w:rFonts w:ascii="Times New Roman" w:hAnsi="Times New Roman" w:cs="Times New Roman"/>
          <w:sz w:val="20"/>
          <w:szCs w:val="20"/>
          <w:u w:val="single"/>
        </w:rPr>
      </w:pPr>
      <w:r>
        <w:rPr>
          <w:rFonts w:ascii="Times New Roman" w:hAnsi="Times New Roman" w:cs="Times New Roman" w:hint="eastAsia"/>
          <w:sz w:val="20"/>
          <w:szCs w:val="20"/>
          <w:u w:val="single"/>
        </w:rPr>
        <w:t>TA report enhancements</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TA report is further enhanced, the ratio of unavailable resource can be further reduced. For TA report enhancements, five potential solutions for mitigating the colli</w:t>
      </w:r>
      <w:r>
        <w:rPr>
          <w:rFonts w:ascii="Times New Roman" w:hAnsi="Times New Roman" w:cs="Times New Roman" w:hint="eastAsia"/>
          <w:sz w:val="20"/>
          <w:szCs w:val="20"/>
        </w:rPr>
        <w:t>sions case 3 and case 4 are summarized in last RAN1 meeting [2] as follows:</w:t>
      </w:r>
    </w:p>
    <w:p w:rsidR="008119DE" w:rsidRDefault="00591DA4" w:rsidP="00C471B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8119DE" w:rsidRDefault="00591DA4" w:rsidP="00C471B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8119DE" w:rsidRDefault="00591DA4" w:rsidP="00C471B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rsidR="008119DE" w:rsidRDefault="00591DA4" w:rsidP="00C471B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8119DE" w:rsidRDefault="00591DA4" w:rsidP="00C471B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TA </w:t>
      </w:r>
      <w:r>
        <w:rPr>
          <w:rFonts w:ascii="Times New Roman" w:hAnsi="Times New Roman" w:cs="Times New Roman"/>
          <w:sz w:val="20"/>
          <w:szCs w:val="20"/>
        </w:rPr>
        <w:t>drifting rate reporting</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Among above solutions, the feasibility of the last three solutions is relatively low. Triggering a TA report based on the collision detection may exacerbate collisions between DL reception and UL transmission. It is necessary to </w:t>
      </w:r>
      <w:r>
        <w:rPr>
          <w:rFonts w:ascii="Times New Roman" w:hAnsi="Times New Roman" w:cs="Times New Roman" w:hint="eastAsia"/>
          <w:sz w:val="20"/>
          <w:szCs w:val="20"/>
        </w:rPr>
        <w:t>ensure that the priority of UL transmission carrying the TA report is high than normal DL reception. In addition, it may also need to be operated combining with other solutions (e.g., finer granularity) to better avoid or mitigate collisions. As for defini</w:t>
      </w:r>
      <w:r>
        <w:rPr>
          <w:rFonts w:ascii="Times New Roman" w:hAnsi="Times New Roman" w:cs="Times New Roman" w:hint="eastAsia"/>
          <w:sz w:val="20"/>
          <w:szCs w:val="20"/>
        </w:rPr>
        <w:t>ng a new triggering mechanism for TA report from gNB, it can only help the UEs without traffic to reduce UL resource occupation and UE power waste, as it reduces unnecessary TA report. However, its effectiveness in tackling the collisions in case 3 and cas</w:t>
      </w:r>
      <w:r>
        <w:rPr>
          <w:rFonts w:ascii="Times New Roman" w:hAnsi="Times New Roman" w:cs="Times New Roman" w:hint="eastAsia"/>
          <w:sz w:val="20"/>
          <w:szCs w:val="20"/>
        </w:rPr>
        <w:t>e 4 is not apparent. TA drifting rate reporting can help gNB to predict the TA in the future, but it will bring higher specification complexity (e.g., signaling design, numerical range, triggering mechanisms and threshold) and implementation complexity.</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Ta</w:t>
      </w:r>
      <w:r>
        <w:rPr>
          <w:rFonts w:ascii="Times New Roman" w:hAnsi="Times New Roman" w:cs="Times New Roman" w:hint="eastAsia"/>
          <w:sz w:val="20"/>
          <w:szCs w:val="20"/>
        </w:rPr>
        <w:t xml:space="preserve">king into account specification impacts, implementation complexity and the effects of collision avoidance/ mitigation, compared with the last three solutions above, the first two solutions, i.e., </w:t>
      </w:r>
      <w:r>
        <w:rPr>
          <w:rFonts w:ascii="Times New Roman" w:hAnsi="Times New Roman" w:cs="Times New Roman"/>
          <w:sz w:val="20"/>
          <w:szCs w:val="20"/>
        </w:rPr>
        <w:t>introducing finer TA report granularity and smaller triggeri</w:t>
      </w:r>
      <w:r>
        <w:rPr>
          <w:rFonts w:ascii="Times New Roman" w:hAnsi="Times New Roman" w:cs="Times New Roman"/>
          <w:sz w:val="20"/>
          <w:szCs w:val="20"/>
        </w:rPr>
        <w:t>ng offset threshold</w:t>
      </w:r>
      <w:r>
        <w:rPr>
          <w:rFonts w:ascii="Times New Roman" w:hAnsi="Times New Roman" w:cs="Times New Roman" w:hint="eastAsia"/>
          <w:sz w:val="20"/>
          <w:szCs w:val="20"/>
        </w:rPr>
        <w:t xml:space="preserve"> are more feasible.</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The legacy TA report granularity for NR NTN is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 Finer TA report granularity can be one symbol with 15 kHz SCS or one slot with 30 kHz SCS, etc. If finer TA report granularity is introduced, th</w:t>
      </w:r>
      <w:r>
        <w:rPr>
          <w:rFonts w:ascii="Times New Roman" w:hAnsi="Times New Roman" w:cs="Times New Roman" w:hint="eastAsia"/>
          <w:sz w:val="20"/>
          <w:szCs w:val="20"/>
        </w:rPr>
        <w:t>e determination of TA report granularity can include the following methods:</w:t>
      </w:r>
    </w:p>
    <w:p w:rsidR="008119DE" w:rsidRDefault="00591DA4">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Opt 1: The gNB indicates whether TA report granularity is the legacy granularity </w:t>
      </w:r>
      <w:r>
        <w:rPr>
          <w:rFonts w:ascii="Times New Roman" w:hAnsi="Times New Roman" w:cs="Times New Roman" w:hint="eastAsia"/>
          <w:sz w:val="20"/>
          <w:szCs w:val="20"/>
        </w:rPr>
        <w:t>(</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w:t>
      </w:r>
      <w:r>
        <w:rPr>
          <w:rFonts w:ascii="Times New Roman" w:hAnsi="Times New Roman" w:cs="Times New Roman" w:hint="eastAsia"/>
          <w:sz w:val="20"/>
          <w:szCs w:val="20"/>
        </w:rPr>
        <w:t xml:space="preserve">) </w:t>
      </w:r>
      <w:r>
        <w:rPr>
          <w:rFonts w:ascii="Times New Roman" w:hAnsi="Times New Roman" w:cs="Times New Roman" w:hint="eastAsia"/>
          <w:sz w:val="20"/>
          <w:szCs w:val="20"/>
        </w:rPr>
        <w:t>or the new finer granularity</w:t>
      </w:r>
      <w:r>
        <w:rPr>
          <w:rFonts w:ascii="Times New Roman" w:hAnsi="Times New Roman" w:cs="Times New Roman" w:hint="eastAsia"/>
          <w:sz w:val="20"/>
          <w:szCs w:val="20"/>
        </w:rPr>
        <w:t xml:space="preserve"> (e.g, </w:t>
      </w:r>
      <w:r>
        <w:rPr>
          <w:rFonts w:ascii="Times New Roman" w:hAnsi="Times New Roman" w:cs="Times New Roman" w:hint="eastAsia"/>
          <w:sz w:val="20"/>
          <w:szCs w:val="20"/>
        </w:rPr>
        <w:t>one symbol with 15 kHz SCS or one slo</w:t>
      </w:r>
      <w:r>
        <w:rPr>
          <w:rFonts w:ascii="Times New Roman" w:hAnsi="Times New Roman" w:cs="Times New Roman" w:hint="eastAsia"/>
          <w:sz w:val="20"/>
          <w:szCs w:val="20"/>
        </w:rPr>
        <w:t>t with 30 kHz SCS</w:t>
      </w:r>
      <w:r>
        <w:rPr>
          <w:rFonts w:ascii="Times New Roman" w:hAnsi="Times New Roman" w:cs="Times New Roman" w:hint="eastAsia"/>
          <w:sz w:val="20"/>
          <w:szCs w:val="20"/>
        </w:rPr>
        <w:t>)</w:t>
      </w:r>
      <w:r>
        <w:rPr>
          <w:rFonts w:ascii="Times New Roman" w:hAnsi="Times New Roman" w:cs="Times New Roman" w:hint="eastAsia"/>
          <w:sz w:val="20"/>
          <w:szCs w:val="20"/>
        </w:rPr>
        <w:t>;</w:t>
      </w:r>
    </w:p>
    <w:p w:rsidR="008119DE" w:rsidRDefault="00591DA4">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 2: The gNB and/or the UE determines TA report granularity according to predefined rules, such as using the same method as TA report granularity determination for ATG in FR1;</w:t>
      </w:r>
    </w:p>
    <w:p w:rsidR="008119DE" w:rsidRDefault="00591DA4">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Opt 3: The UE determines TA report granularity relying on </w:t>
      </w:r>
      <w:r>
        <w:rPr>
          <w:rFonts w:ascii="Times New Roman" w:hAnsi="Times New Roman" w:cs="Times New Roman" w:hint="eastAsia"/>
          <w:sz w:val="20"/>
          <w:szCs w:val="20"/>
        </w:rPr>
        <w:t>UE</w:t>
      </w:r>
      <w:r>
        <w:rPr>
          <w:rFonts w:ascii="Times New Roman" w:hAnsi="Times New Roman" w:cs="Times New Roman"/>
          <w:sz w:val="20"/>
          <w:szCs w:val="20"/>
        </w:rPr>
        <w:t>’</w:t>
      </w:r>
      <w:r>
        <w:rPr>
          <w:rFonts w:ascii="Times New Roman" w:hAnsi="Times New Roman" w:cs="Times New Roman" w:hint="eastAsia"/>
          <w:sz w:val="20"/>
          <w:szCs w:val="20"/>
        </w:rPr>
        <w:t>s implementation and indicates TA report granularity to the gNB via MAC CE.</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In Opt 3, UE can autonomously determine TA report granularity based on collision detection or other factors. In this option, one reserved bit (</w:t>
      </w:r>
      <w:r>
        <w:rPr>
          <w:rFonts w:ascii="Times New Roman" w:hAnsi="Times New Roman" w:cs="Times New Roman"/>
          <w:sz w:val="20"/>
          <w:szCs w:val="20"/>
        </w:rPr>
        <w:t>‘</w:t>
      </w:r>
      <w:r>
        <w:rPr>
          <w:rFonts w:ascii="Times New Roman" w:hAnsi="Times New Roman" w:cs="Times New Roman" w:hint="eastAsia"/>
          <w:sz w:val="20"/>
          <w:szCs w:val="20"/>
        </w:rPr>
        <w:t>R</w:t>
      </w:r>
      <w:r>
        <w:rPr>
          <w:rFonts w:ascii="Times New Roman" w:hAnsi="Times New Roman" w:cs="Times New Roman"/>
          <w:sz w:val="20"/>
          <w:szCs w:val="20"/>
        </w:rPr>
        <w:t>’</w:t>
      </w:r>
      <w:r>
        <w:rPr>
          <w:rFonts w:ascii="Times New Roman" w:hAnsi="Times New Roman" w:cs="Times New Roman" w:hint="eastAsia"/>
          <w:sz w:val="20"/>
          <w:szCs w:val="20"/>
        </w:rPr>
        <w:t xml:space="preserve"> as shown in Figure 2) in the e</w:t>
      </w:r>
      <w:r>
        <w:rPr>
          <w:rFonts w:ascii="Times New Roman" w:hAnsi="Times New Roman" w:cs="Times New Roman" w:hint="eastAsia"/>
          <w:sz w:val="20"/>
          <w:szCs w:val="20"/>
        </w:rPr>
        <w:t>xisting TA report MAC CE can be re-defined as the granularity indication bit. If the bit is set to 1, it indicates that TA report granularity is the old granularity. Otherwise, it represents as a new granularity.</w:t>
      </w:r>
    </w:p>
    <w:p w:rsidR="008119DE" w:rsidRDefault="00591DA4">
      <w:pPr>
        <w:pStyle w:val="TH"/>
        <w:rPr>
          <w:rFonts w:eastAsia="Malgun Gothic"/>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80.3pt">
            <v:imagedata r:id="rId9" o:title=""/>
          </v:shape>
        </w:pict>
      </w:r>
    </w:p>
    <w:p w:rsidR="008119DE" w:rsidRDefault="00591DA4">
      <w:pPr>
        <w:pStyle w:val="a3"/>
        <w:rPr>
          <w:b w:val="0"/>
          <w:lang w:val="en-US"/>
        </w:rPr>
      </w:pPr>
      <w:r>
        <w:rPr>
          <w:b w:val="0"/>
        </w:rPr>
        <w:t xml:space="preserve">Figure </w:t>
      </w:r>
      <w:r>
        <w:rPr>
          <w:rFonts w:hint="eastAsia"/>
          <w:b w:val="0"/>
          <w:lang w:val="en-US"/>
        </w:rPr>
        <w:t>2</w:t>
      </w:r>
      <w:r>
        <w:rPr>
          <w:b w:val="0"/>
        </w:rPr>
        <w:t xml:space="preserve"> </w:t>
      </w:r>
      <w:r>
        <w:rPr>
          <w:rFonts w:hint="eastAsia"/>
          <w:b w:val="0"/>
          <w:lang w:val="en-US"/>
        </w:rPr>
        <w:t>Timing advance report MAC CE</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The</w:t>
      </w:r>
      <w:r>
        <w:rPr>
          <w:rFonts w:ascii="Times New Roman" w:hAnsi="Times New Roman" w:cs="Times New Roman" w:hint="eastAsia"/>
          <w:sz w:val="20"/>
          <w:szCs w:val="20"/>
        </w:rPr>
        <w:t xml:space="preserve"> existing candidate triggering offset threshold is ranged from 0.5 ms to 15 ms</w:t>
      </w:r>
      <w:r w:rsidR="00D61BE8">
        <w:rPr>
          <w:rFonts w:ascii="Times New Roman" w:hAnsi="Times New Roman" w:cs="Times New Roman" w:hint="eastAsia"/>
          <w:sz w:val="20"/>
          <w:szCs w:val="20"/>
        </w:rPr>
        <w:t>,</w:t>
      </w:r>
      <w:r w:rsidR="00D61BE8">
        <w:rPr>
          <w:rFonts w:ascii="Times New Roman" w:hAnsi="Times New Roman" w:cs="Times New Roman"/>
          <w:sz w:val="20"/>
          <w:szCs w:val="20"/>
        </w:rPr>
        <w:t xml:space="preserve"> to enable the more accurate TA information collection, comparing to the other mechanims (e.g., gNB triggered), introducing the n</w:t>
      </w:r>
      <w:r>
        <w:rPr>
          <w:rFonts w:ascii="Times New Roman" w:hAnsi="Times New Roman" w:cs="Times New Roman" w:hint="eastAsia"/>
          <w:sz w:val="20"/>
          <w:szCs w:val="20"/>
        </w:rPr>
        <w:t>ew candidate triggering offset</w:t>
      </w:r>
      <w:r w:rsidR="00D61BE8">
        <w:rPr>
          <w:rFonts w:ascii="Times New Roman" w:hAnsi="Times New Roman" w:cs="Times New Roman"/>
          <w:sz w:val="20"/>
          <w:szCs w:val="20"/>
        </w:rPr>
        <w:t xml:space="preserve">, which is </w:t>
      </w:r>
      <w:r>
        <w:rPr>
          <w:rFonts w:ascii="Times New Roman" w:hAnsi="Times New Roman" w:cs="Times New Roman" w:hint="eastAsia"/>
          <w:sz w:val="20"/>
          <w:szCs w:val="20"/>
        </w:rPr>
        <w:t>0.5 ms, e.g.</w:t>
      </w:r>
      <w:r>
        <w:rPr>
          <w:rFonts w:ascii="Times New Roman" w:hAnsi="Times New Roman" w:cs="Times New Roman"/>
          <w:sz w:val="20"/>
          <w:szCs w:val="20"/>
        </w:rPr>
        <w:t>,</w:t>
      </w:r>
      <w:r>
        <w:rPr>
          <w:rFonts w:ascii="Times New Roman" w:hAnsi="Times New Roman" w:cs="Times New Roman" w:hint="eastAsia"/>
          <w:sz w:val="20"/>
          <w:szCs w:val="20"/>
        </w:rPr>
        <w:t xml:space="preserve"> equal to 0.25 ms, 0.1 ms, or expressed by symbols</w:t>
      </w:r>
      <w:r w:rsidR="00D61BE8">
        <w:rPr>
          <w:rFonts w:ascii="Times New Roman" w:hAnsi="Times New Roman" w:cs="Times New Roman"/>
          <w:sz w:val="20"/>
          <w:szCs w:val="20"/>
        </w:rPr>
        <w:t xml:space="preserve">, is more </w:t>
      </w:r>
      <w:r w:rsidR="00D61BE8">
        <w:rPr>
          <w:rFonts w:ascii="Times New Roman" w:hAnsi="Times New Roman" w:cs="Times New Roman" w:hint="eastAsia"/>
          <w:sz w:val="20"/>
          <w:szCs w:val="20"/>
        </w:rPr>
        <w:t>straightforward</w:t>
      </w:r>
      <w:r w:rsidR="00D61BE8">
        <w:rPr>
          <w:rFonts w:ascii="Times New Roman" w:hAnsi="Times New Roman" w:cs="Times New Roman"/>
          <w:sz w:val="20"/>
          <w:szCs w:val="20"/>
        </w:rPr>
        <w:t xml:space="preserve"> with </w:t>
      </w:r>
      <w:r w:rsidR="00D61BE8">
        <w:rPr>
          <w:rFonts w:ascii="Times New Roman" w:hAnsi="Times New Roman" w:cs="Times New Roman" w:hint="eastAsia"/>
          <w:sz w:val="20"/>
          <w:szCs w:val="20"/>
        </w:rPr>
        <w:t>negligible</w:t>
      </w:r>
      <w:r w:rsidR="00D61BE8">
        <w:rPr>
          <w:rFonts w:ascii="Times New Roman" w:hAnsi="Times New Roman" w:cs="Times New Roman"/>
          <w:sz w:val="20"/>
          <w:szCs w:val="20"/>
        </w:rPr>
        <w:t xml:space="preserve"> spec impacts and no additional complexity at gNB side</w:t>
      </w:r>
      <w:r>
        <w:rPr>
          <w:rFonts w:ascii="Times New Roman" w:hAnsi="Times New Roman" w:cs="Times New Roman" w:hint="eastAsia"/>
          <w:sz w:val="20"/>
          <w:szCs w:val="20"/>
        </w:rPr>
        <w:t xml:space="preserve">. </w:t>
      </w:r>
      <w:r>
        <w:rPr>
          <w:rFonts w:ascii="Times New Roman" w:hAnsi="Times New Roman" w:cs="Times New Roman" w:hint="eastAsia"/>
          <w:sz w:val="20"/>
          <w:szCs w:val="20"/>
        </w:rPr>
        <w:t>By introducing smaller offset threshold val</w:t>
      </w:r>
      <w:r>
        <w:rPr>
          <w:rFonts w:ascii="Times New Roman" w:hAnsi="Times New Roman" w:cs="Times New Roman" w:hint="eastAsia"/>
          <w:sz w:val="20"/>
          <w:szCs w:val="20"/>
        </w:rPr>
        <w:t>ues, the gNB can strike a balance between resource utilization, collision avoidance and signaling overhead.</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 to the above three options, the gNB</w:t>
      </w:r>
      <w:r>
        <w:rPr>
          <w:rFonts w:ascii="Times New Roman" w:hAnsi="Times New Roman" w:cs="Times New Roman"/>
          <w:sz w:val="20"/>
          <w:szCs w:val="20"/>
        </w:rPr>
        <w:t xml:space="preserve"> can implicitly indi</w:t>
      </w:r>
      <w:r>
        <w:rPr>
          <w:rFonts w:ascii="Times New Roman" w:hAnsi="Times New Roman" w:cs="Times New Roman"/>
          <w:sz w:val="20"/>
          <w:szCs w:val="20"/>
        </w:rPr>
        <w:t xml:space="preserve">cate </w:t>
      </w:r>
      <w:r>
        <w:rPr>
          <w:rFonts w:ascii="Times New Roman" w:hAnsi="Times New Roman" w:cs="Times New Roman" w:hint="eastAsia"/>
          <w:sz w:val="20"/>
          <w:szCs w:val="20"/>
        </w:rPr>
        <w:t>TA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 xml:space="preserve">threshold.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rsidR="008119DE" w:rsidRDefault="00591DA4">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 xml:space="preserve">enhancement of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w:t>
      </w:r>
      <w:r w:rsidR="00DB111A">
        <w:rPr>
          <w:rFonts w:ascii="Times New Roman" w:hAnsi="Times New Roman" w:cs="Times New Roman"/>
          <w:sz w:val="20"/>
          <w:szCs w:val="20"/>
        </w:rPr>
        <w:t xml:space="preserve">, the potential </w:t>
      </w:r>
      <w:r w:rsidR="00DB111A">
        <w:rPr>
          <w:rFonts w:ascii="Times New Roman" w:hAnsi="Times New Roman" w:cs="Times New Roman" w:hint="eastAsia"/>
          <w:sz w:val="20"/>
          <w:szCs w:val="20"/>
        </w:rPr>
        <w:t>collision</w:t>
      </w:r>
      <w:r w:rsidR="00DB111A">
        <w:rPr>
          <w:rFonts w:ascii="Times New Roman" w:hAnsi="Times New Roman" w:cs="Times New Roman"/>
          <w:sz w:val="20"/>
          <w:szCs w:val="20"/>
        </w:rPr>
        <w:t xml:space="preserve"> region may be well </w:t>
      </w:r>
      <w:r w:rsidR="00DB111A">
        <w:rPr>
          <w:rFonts w:ascii="Times New Roman" w:hAnsi="Times New Roman" w:cs="Times New Roman" w:hint="eastAsia"/>
          <w:sz w:val="20"/>
          <w:szCs w:val="20"/>
        </w:rPr>
        <w:t>identified</w:t>
      </w:r>
      <w:r w:rsidR="00DB111A">
        <w:rPr>
          <w:rFonts w:ascii="Times New Roman" w:hAnsi="Times New Roman" w:cs="Times New Roman"/>
          <w:sz w:val="20"/>
          <w:szCs w:val="20"/>
        </w:rPr>
        <w:t xml:space="preserve"> at gNB side to enable the proper scheduling or configuration. Then, a</w:t>
      </w:r>
      <w:r>
        <w:rPr>
          <w:rFonts w:ascii="Times New Roman" w:hAnsi="Times New Roman" w:cs="Times New Roman"/>
          <w:sz w:val="20"/>
          <w:szCs w:val="20"/>
        </w:rPr>
        <w:t>s a general approach</w:t>
      </w:r>
      <w:r w:rsidR="00DB111A">
        <w:rPr>
          <w:rFonts w:ascii="Times New Roman" w:hAnsi="Times New Roman" w:cs="Times New Roman"/>
          <w:sz w:val="20"/>
          <w:szCs w:val="20"/>
        </w:rPr>
        <w:t xml:space="preserve">, it will </w:t>
      </w:r>
      <w:r>
        <w:rPr>
          <w:rFonts w:ascii="Times New Roman" w:hAnsi="Times New Roman" w:cs="Times New Roman"/>
          <w:sz w:val="20"/>
          <w:szCs w:val="20"/>
        </w:rPr>
        <w:t xml:space="preserve">alleviate the impacts due to </w:t>
      </w:r>
      <w:r>
        <w:rPr>
          <w:rFonts w:ascii="Times New Roman" w:hAnsi="Times New Roman" w:cs="Times New Roman" w:hint="eastAsia"/>
          <w:sz w:val="20"/>
          <w:szCs w:val="20"/>
        </w:rPr>
        <w:t xml:space="preserve">all </w:t>
      </w:r>
      <w:r>
        <w:rPr>
          <w:rFonts w:ascii="Times New Roman" w:hAnsi="Times New Roman" w:cs="Times New Roman" w:hint="eastAsia"/>
          <w:sz w:val="20"/>
          <w:szCs w:val="20"/>
        </w:rPr>
        <w:t xml:space="preserve">HD collision cases to some extent, including cases 1, 2, </w:t>
      </w:r>
      <w:r>
        <w:rPr>
          <w:rFonts w:ascii="Times New Roman" w:hAnsi="Times New Roman" w:cs="Times New Roman" w:hint="eastAsia"/>
          <w:sz w:val="20"/>
          <w:szCs w:val="20"/>
        </w:rPr>
        <w:t xml:space="preserve">3, 4, </w:t>
      </w:r>
      <w:r>
        <w:rPr>
          <w:rFonts w:ascii="Times New Roman" w:hAnsi="Times New Roman" w:cs="Times New Roman" w:hint="eastAsia"/>
          <w:sz w:val="20"/>
          <w:szCs w:val="20"/>
        </w:rPr>
        <w:t>5 and 6</w:t>
      </w:r>
      <w:r>
        <w:rPr>
          <w:rFonts w:ascii="Times New Roman" w:hAnsi="Times New Roman" w:cs="Times New Roman"/>
          <w:sz w:val="20"/>
          <w:szCs w:val="20"/>
        </w:rPr>
        <w:t>.</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ith finer TA rep</w:t>
      </w:r>
      <w:r>
        <w:rPr>
          <w:rFonts w:ascii="Times New Roman" w:hAnsi="Times New Roman" w:cs="Times New Roman"/>
          <w:bCs/>
          <w:i/>
          <w:iCs/>
          <w:sz w:val="20"/>
          <w:szCs w:val="20"/>
        </w:rPr>
        <w:t xml:space="preserve">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2</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w:t>
      </w:r>
      <w:r>
        <w:rPr>
          <w:rFonts w:ascii="Times New Roman" w:hAnsi="Times New Roman" w:cs="Times New Roman"/>
          <w:bCs/>
          <w:i/>
          <w:iCs/>
          <w:sz w:val="20"/>
          <w:szCs w:val="20"/>
        </w:rPr>
        <w:t>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8119DE" w:rsidRDefault="00591DA4">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 xml:space="preserve">Opt 1: The gNB </w:t>
      </w:r>
      <w:r>
        <w:rPr>
          <w:rFonts w:ascii="Times New Roman" w:hAnsi="Times New Roman" w:cs="Times New Roman" w:hint="eastAsia"/>
          <w:i/>
          <w:iCs/>
          <w:sz w:val="20"/>
          <w:szCs w:val="20"/>
        </w:rPr>
        <w:t xml:space="preserve">configures the </w:t>
      </w:r>
      <w:r>
        <w:rPr>
          <w:rFonts w:ascii="Times New Roman" w:hAnsi="Times New Roman" w:cs="Times New Roman" w:hint="eastAsia"/>
          <w:i/>
          <w:iCs/>
          <w:sz w:val="20"/>
          <w:szCs w:val="20"/>
        </w:rPr>
        <w:t>TA report granularity</w:t>
      </w:r>
    </w:p>
    <w:p w:rsidR="008119DE" w:rsidRDefault="00591DA4">
      <w:pPr>
        <w:numPr>
          <w:ilvl w:val="0"/>
          <w:numId w:val="7"/>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 2: The gNB</w:t>
      </w:r>
      <w:r>
        <w:rPr>
          <w:rFonts w:ascii="Times New Roman" w:hAnsi="Times New Roman" w:cs="Times New Roman" w:hint="eastAsia"/>
          <w:i/>
          <w:iCs/>
          <w:sz w:val="20"/>
          <w:szCs w:val="20"/>
        </w:rPr>
        <w:t>/</w:t>
      </w:r>
      <w:r>
        <w:rPr>
          <w:rFonts w:ascii="Times New Roman" w:hAnsi="Times New Roman" w:cs="Times New Roman" w:hint="eastAsia"/>
          <w:i/>
          <w:iCs/>
          <w:sz w:val="20"/>
          <w:szCs w:val="20"/>
        </w:rPr>
        <w:t>UE determines TA report granularity according to predefined rules</w:t>
      </w:r>
    </w:p>
    <w:p w:rsidR="008119DE" w:rsidRDefault="00591DA4">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 xml:space="preserve">s implementation and </w:t>
      </w:r>
      <w:r>
        <w:rPr>
          <w:rFonts w:ascii="Times New Roman" w:hAnsi="Times New Roman" w:cs="Times New Roman" w:hint="eastAsia"/>
          <w:i/>
          <w:iCs/>
          <w:sz w:val="20"/>
          <w:szCs w:val="20"/>
        </w:rPr>
        <w:t xml:space="preserve">then </w:t>
      </w:r>
      <w:r>
        <w:rPr>
          <w:rFonts w:ascii="Times New Roman" w:hAnsi="Times New Roman" w:cs="Times New Roman" w:hint="eastAsia"/>
          <w:i/>
          <w:iCs/>
          <w:sz w:val="20"/>
          <w:szCs w:val="20"/>
        </w:rPr>
        <w:t xml:space="preserve">indicates </w:t>
      </w:r>
      <w:r>
        <w:rPr>
          <w:rFonts w:ascii="Times New Roman" w:hAnsi="Times New Roman" w:cs="Times New Roman" w:hint="eastAsia"/>
          <w:i/>
          <w:iCs/>
          <w:sz w:val="20"/>
          <w:szCs w:val="20"/>
        </w:rPr>
        <w:t xml:space="preserve">the </w:t>
      </w:r>
      <w:r>
        <w:rPr>
          <w:rFonts w:ascii="Times New Roman" w:hAnsi="Times New Roman" w:cs="Times New Roman" w:hint="eastAsia"/>
          <w:i/>
          <w:iCs/>
          <w:sz w:val="20"/>
          <w:szCs w:val="20"/>
        </w:rPr>
        <w:t>TA report granularity to the gNB via MAC CE</w:t>
      </w:r>
      <w:r>
        <w:rPr>
          <w:rFonts w:ascii="Times New Roman" w:hAnsi="Times New Roman" w:cs="Times New Roman" w:hint="eastAsia"/>
          <w:i/>
          <w:iCs/>
          <w:sz w:val="20"/>
          <w:szCs w:val="20"/>
        </w:rPr>
        <w:t>.</w:t>
      </w:r>
    </w:p>
    <w:p w:rsidR="008119DE" w:rsidRDefault="00591DA4">
      <w:pPr>
        <w:numPr>
          <w:ilvl w:val="0"/>
          <w:numId w:val="6"/>
        </w:numPr>
        <w:spacing w:before="240" w:after="120" w:line="240" w:lineRule="auto"/>
        <w:jc w:val="both"/>
        <w:rPr>
          <w:rFonts w:ascii="Times New Roman" w:hAnsi="Times New Roman" w:cs="Times New Roman"/>
          <w:sz w:val="20"/>
          <w:szCs w:val="20"/>
          <w:u w:val="single"/>
        </w:rPr>
      </w:pPr>
      <w:r>
        <w:rPr>
          <w:rFonts w:ascii="Times New Roman" w:hAnsi="Times New Roman" w:cs="Times New Roman" w:hint="eastAsia"/>
          <w:sz w:val="20"/>
          <w:szCs w:val="20"/>
          <w:u w:val="single"/>
        </w:rPr>
        <w:t>Other solutions for collision mitigation</w:t>
      </w:r>
    </w:p>
    <w:p w:rsidR="008119DE" w:rsidRDefault="00591DA4">
      <w:pPr>
        <w:jc w:val="both"/>
        <w:rPr>
          <w:rFonts w:ascii="Times New Roman" w:hAnsi="Times New Roman" w:cs="Times New Roman"/>
          <w:sz w:val="20"/>
          <w:szCs w:val="20"/>
        </w:rPr>
      </w:pPr>
      <w:r>
        <w:rPr>
          <w:rFonts w:ascii="Times New Roman" w:hAnsi="Times New Roman" w:cs="Times New Roman" w:hint="eastAsia"/>
          <w:sz w:val="20"/>
          <w:szCs w:val="20"/>
        </w:rPr>
        <w:t>Introducing finer TA report granularity and/or s</w:t>
      </w:r>
      <w:r>
        <w:rPr>
          <w:rFonts w:ascii="Times New Roman" w:hAnsi="Times New Roman" w:cs="Times New Roman"/>
          <w:sz w:val="20"/>
          <w:szCs w:val="20"/>
        </w:rPr>
        <w:t>maller TA offset threshold</w:t>
      </w:r>
      <w:r>
        <w:rPr>
          <w:rFonts w:ascii="Times New Roman" w:hAnsi="Times New Roman" w:cs="Times New Roman" w:hint="eastAsia"/>
          <w:sz w:val="20"/>
          <w:szCs w:val="20"/>
        </w:rPr>
        <w:t xml:space="preserve"> can shrink TA mismatch and improve UE throughput. At least for case 4, relying on</w:t>
      </w:r>
      <w:r>
        <w:rPr>
          <w:rFonts w:ascii="Times New Roman" w:hAnsi="Times New Roman" w:cs="Times New Roman" w:hint="eastAsia"/>
          <w:sz w:val="20"/>
          <w:szCs w:val="20"/>
        </w:rPr>
        <w:t xml:space="preserve"> above TA report enhancements and gNB</w:t>
      </w:r>
      <w:r>
        <w:rPr>
          <w:rFonts w:ascii="Times New Roman" w:hAnsi="Times New Roman" w:cs="Times New Roman"/>
          <w:sz w:val="20"/>
          <w:szCs w:val="20"/>
        </w:rPr>
        <w:t>’</w:t>
      </w:r>
      <w:r>
        <w:rPr>
          <w:rFonts w:ascii="Times New Roman" w:hAnsi="Times New Roman" w:cs="Times New Roman" w:hint="eastAsia"/>
          <w:sz w:val="20"/>
          <w:szCs w:val="20"/>
        </w:rPr>
        <w:t>s dynamic scheduling, the collisions between DL reception and UL transmission can be mitigated to the greatest extent possible. Nonetheless, considering the importance of dynamically triggered PRACH that can be used fo</w:t>
      </w:r>
      <w:r>
        <w:rPr>
          <w:rFonts w:ascii="Times New Roman" w:hAnsi="Times New Roman" w:cs="Times New Roman" w:hint="eastAsia"/>
          <w:sz w:val="20"/>
          <w:szCs w:val="20"/>
        </w:rPr>
        <w:t>r UL synchronization, the priority of dynamically triggered PRACH can be higher than other dynamic DL reception.</w:t>
      </w:r>
    </w:p>
    <w:p w:rsidR="008119DE" w:rsidRDefault="00591DA4">
      <w:pPr>
        <w:jc w:val="both"/>
        <w:rPr>
          <w:rFonts w:ascii="Times New Roman" w:hAnsi="Times New Roman" w:cs="Times New Roman"/>
          <w:bCs/>
          <w:i/>
          <w:iCs/>
          <w:sz w:val="20"/>
          <w:szCs w:val="20"/>
        </w:rPr>
      </w:pPr>
      <w:r>
        <w:rPr>
          <w:rFonts w:ascii="Times New Roman" w:hAnsi="Times New Roman" w:cs="Times New Roman" w:hint="eastAsia"/>
          <w:b/>
          <w:i/>
          <w:iCs/>
          <w:sz w:val="20"/>
          <w:szCs w:val="20"/>
        </w:rPr>
        <w:t>Observation 2</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case 4, the collisions between DL reception and UL transmission can be mitigated </w:t>
      </w:r>
      <w:r>
        <w:rPr>
          <w:rFonts w:ascii="Times New Roman" w:hAnsi="Times New Roman" w:cs="Times New Roman" w:hint="eastAsia"/>
          <w:i/>
          <w:iCs/>
          <w:sz w:val="20"/>
          <w:szCs w:val="20"/>
        </w:rPr>
        <w:t xml:space="preserve">to the greatest extent possible </w:t>
      </w:r>
      <w:r>
        <w:rPr>
          <w:rFonts w:ascii="Times New Roman" w:hAnsi="Times New Roman" w:cs="Times New Roman" w:hint="eastAsia"/>
          <w:bCs/>
          <w:i/>
          <w:iCs/>
          <w:sz w:val="20"/>
          <w:szCs w:val="20"/>
        </w:rPr>
        <w:t xml:space="preserve">relying on </w:t>
      </w:r>
      <w:r>
        <w:rPr>
          <w:rFonts w:ascii="Times New Roman" w:hAnsi="Times New Roman" w:cs="Times New Roman" w:hint="eastAsia"/>
          <w:bCs/>
          <w:i/>
          <w:iCs/>
          <w:sz w:val="20"/>
          <w:szCs w:val="20"/>
        </w:rPr>
        <w:t>above TA report enhancements and gNB</w:t>
      </w:r>
      <w:r>
        <w:rPr>
          <w:rFonts w:ascii="Times New Roman" w:hAnsi="Times New Roman" w:cs="Times New Roman"/>
          <w:bCs/>
          <w:i/>
          <w:iCs/>
          <w:sz w:val="20"/>
          <w:szCs w:val="20"/>
        </w:rPr>
        <w:t>’</w:t>
      </w:r>
      <w:r>
        <w:rPr>
          <w:rFonts w:ascii="Times New Roman" w:hAnsi="Times New Roman" w:cs="Times New Roman" w:hint="eastAsia"/>
          <w:bCs/>
          <w:i/>
          <w:iCs/>
          <w:sz w:val="20"/>
          <w:szCs w:val="20"/>
        </w:rPr>
        <w:t>s dynamic scheduling.</w:t>
      </w:r>
    </w:p>
    <w:p w:rsidR="008119DE" w:rsidRDefault="00591DA4">
      <w:pPr>
        <w:jc w:val="both"/>
        <w:rPr>
          <w:rFonts w:ascii="Times New Roman" w:hAnsi="Times New Roman" w:cs="Times New Roman"/>
          <w:bCs/>
          <w:i/>
          <w:iCs/>
          <w:sz w:val="20"/>
          <w:szCs w:val="20"/>
        </w:rPr>
      </w:pPr>
      <w:r>
        <w:rPr>
          <w:rFonts w:ascii="Times New Roman" w:hAnsi="Times New Roman" w:cs="Times New Roman" w:hint="eastAsia"/>
          <w:b/>
          <w:i/>
          <w:iCs/>
          <w:sz w:val="20"/>
          <w:szCs w:val="20"/>
        </w:rPr>
        <w:t>Proposal 3:</w:t>
      </w:r>
      <w:r>
        <w:rPr>
          <w:rFonts w:ascii="Times New Roman" w:hAnsi="Times New Roman" w:cs="Times New Roman" w:hint="eastAsia"/>
          <w:bCs/>
          <w:i/>
          <w:iCs/>
          <w:sz w:val="20"/>
          <w:szCs w:val="20"/>
        </w:rPr>
        <w:t xml:space="preserve"> For case 4, t</w:t>
      </w:r>
      <w:r>
        <w:rPr>
          <w:rFonts w:ascii="Times New Roman" w:hAnsi="Times New Roman" w:cs="Times New Roman" w:hint="eastAsia"/>
          <w:i/>
          <w:iCs/>
          <w:sz w:val="20"/>
          <w:szCs w:val="20"/>
        </w:rPr>
        <w:t>he priority of dynamically triggered PRACH can be higher than dynamic DL reception.</w:t>
      </w:r>
    </w:p>
    <w:p w:rsidR="008119DE" w:rsidRDefault="00591DA4">
      <w:pPr>
        <w:jc w:val="both"/>
        <w:rPr>
          <w:rFonts w:ascii="Times New Roman" w:hAnsi="Times New Roman" w:cs="Times New Roman"/>
          <w:bCs/>
          <w:sz w:val="20"/>
          <w:szCs w:val="20"/>
        </w:rPr>
      </w:pPr>
      <w:r>
        <w:rPr>
          <w:rFonts w:ascii="Times New Roman" w:hAnsi="Times New Roman" w:cs="Times New Roman" w:hint="eastAsia"/>
          <w:sz w:val="20"/>
          <w:szCs w:val="20"/>
        </w:rPr>
        <w:t>D</w:t>
      </w:r>
      <w:r>
        <w:rPr>
          <w:rFonts w:ascii="Times New Roman" w:hAnsi="Times New Roman" w:cs="Times New Roman" w:hint="eastAsia"/>
          <w:bCs/>
          <w:sz w:val="20"/>
          <w:szCs w:val="20"/>
        </w:rPr>
        <w:t xml:space="preserve">ue to the impracticality of frequent reconfiguration for semi-statically configured </w:t>
      </w:r>
      <w:r>
        <w:rPr>
          <w:rFonts w:ascii="Times New Roman" w:hAnsi="Times New Roman" w:cs="Times New Roman" w:hint="eastAsia"/>
          <w:bCs/>
          <w:sz w:val="20"/>
          <w:szCs w:val="20"/>
        </w:rPr>
        <w:t>transmission/reception, the benefits brought by TA report enhanceme</w:t>
      </w:r>
      <w:r>
        <w:rPr>
          <w:rFonts w:ascii="Times New Roman" w:hAnsi="Times New Roman" w:cs="Times New Roman"/>
          <w:sz w:val="20"/>
          <w:szCs w:val="20"/>
        </w:rPr>
        <w:t>nt for solving case 3 may not b</w:t>
      </w:r>
      <w:r>
        <w:rPr>
          <w:rFonts w:ascii="Times New Roman" w:hAnsi="Times New Roman" w:cs="Times New Roman" w:hint="eastAsia"/>
          <w:bCs/>
          <w:sz w:val="20"/>
          <w:szCs w:val="20"/>
        </w:rPr>
        <w:t xml:space="preserve">e as significant as for solving case 4. Therefore, additional enhancements for solving case 3 </w:t>
      </w:r>
      <w:r>
        <w:rPr>
          <w:rFonts w:ascii="Times New Roman" w:hAnsi="Times New Roman" w:cs="Times New Roman"/>
          <w:bCs/>
          <w:sz w:val="20"/>
          <w:szCs w:val="20"/>
        </w:rPr>
        <w:t>can also be considered</w:t>
      </w:r>
      <w:r>
        <w:rPr>
          <w:rFonts w:ascii="Times New Roman" w:hAnsi="Times New Roman" w:cs="Times New Roman" w:hint="eastAsia"/>
          <w:bCs/>
          <w:sz w:val="20"/>
          <w:szCs w:val="20"/>
        </w:rPr>
        <w:t>.</w:t>
      </w:r>
    </w:p>
    <w:p w:rsidR="008119DE" w:rsidRDefault="00591DA4">
      <w:pPr>
        <w:jc w:val="both"/>
        <w:rPr>
          <w:rFonts w:ascii="Times New Roman" w:hAnsi="Times New Roman" w:cs="Times New Roman"/>
          <w:bCs/>
          <w:sz w:val="20"/>
          <w:szCs w:val="20"/>
        </w:rPr>
      </w:pPr>
      <w:r>
        <w:rPr>
          <w:rFonts w:ascii="Times New Roman" w:hAnsi="Times New Roman" w:cs="Times New Roman"/>
          <w:bCs/>
          <w:sz w:val="20"/>
          <w:szCs w:val="20"/>
        </w:rPr>
        <w:t>F</w:t>
      </w:r>
      <w:r>
        <w:rPr>
          <w:rFonts w:ascii="Times New Roman" w:hAnsi="Times New Roman" w:cs="Times New Roman" w:hint="eastAsia"/>
          <w:bCs/>
          <w:sz w:val="20"/>
          <w:szCs w:val="20"/>
        </w:rPr>
        <w:t>or</w:t>
      </w:r>
      <w:r>
        <w:rPr>
          <w:rFonts w:ascii="Times New Roman" w:hAnsi="Times New Roman" w:cs="Times New Roman"/>
          <w:bCs/>
          <w:sz w:val="20"/>
          <w:szCs w:val="20"/>
        </w:rPr>
        <w:t xml:space="preserve"> example, some </w:t>
      </w:r>
      <w:r>
        <w:rPr>
          <w:rFonts w:ascii="Times New Roman" w:hAnsi="Times New Roman" w:cs="Times New Roman" w:hint="eastAsia"/>
          <w:bCs/>
          <w:sz w:val="20"/>
          <w:szCs w:val="20"/>
        </w:rPr>
        <w:t>priority rule</w:t>
      </w:r>
      <w:r>
        <w:rPr>
          <w:rFonts w:ascii="Times New Roman" w:hAnsi="Times New Roman" w:cs="Times New Roman"/>
          <w:bCs/>
          <w:sz w:val="20"/>
          <w:szCs w:val="20"/>
        </w:rPr>
        <w:t xml:space="preserve"> </w:t>
      </w:r>
      <w:r>
        <w:rPr>
          <w:rFonts w:ascii="Times New Roman" w:hAnsi="Times New Roman" w:cs="Times New Roman" w:hint="eastAsia"/>
          <w:bCs/>
          <w:sz w:val="20"/>
          <w:szCs w:val="20"/>
        </w:rPr>
        <w:t>of semi-</w:t>
      </w:r>
      <w:r>
        <w:rPr>
          <w:rFonts w:ascii="Times New Roman" w:hAnsi="Times New Roman" w:cs="Times New Roman" w:hint="eastAsia"/>
          <w:bCs/>
          <w:sz w:val="20"/>
          <w:szCs w:val="20"/>
        </w:rPr>
        <w:t xml:space="preserve">statically configured DL reception vs. UL transmission </w:t>
      </w:r>
      <w:r>
        <w:rPr>
          <w:rFonts w:ascii="Times New Roman" w:hAnsi="Times New Roman" w:cs="Times New Roman"/>
          <w:bCs/>
          <w:sz w:val="20"/>
          <w:szCs w:val="20"/>
        </w:rPr>
        <w:t xml:space="preserve">can be defined </w:t>
      </w:r>
      <w:r>
        <w:rPr>
          <w:rFonts w:ascii="Times New Roman" w:hAnsi="Times New Roman" w:cs="Times New Roman" w:hint="eastAsia"/>
          <w:bCs/>
          <w:sz w:val="20"/>
          <w:szCs w:val="20"/>
        </w:rPr>
        <w:t xml:space="preserve">case by case. It should be note that semi-statically configured DL reception and UL transmission defined in case 3 do not </w:t>
      </w:r>
      <w:r>
        <w:rPr>
          <w:rFonts w:ascii="Times New Roman" w:hAnsi="Times New Roman" w:cs="Times New Roman" w:hint="eastAsia"/>
          <w:bCs/>
          <w:sz w:val="20"/>
          <w:szCs w:val="20"/>
        </w:rPr>
        <w:lastRenderedPageBreak/>
        <w:t>include SSB/PRACH. Collisions with SSB reception and PRACH trans</w:t>
      </w:r>
      <w:r>
        <w:rPr>
          <w:rFonts w:ascii="Times New Roman" w:hAnsi="Times New Roman" w:cs="Times New Roman" w:hint="eastAsia"/>
          <w:bCs/>
          <w:sz w:val="20"/>
          <w:szCs w:val="20"/>
        </w:rPr>
        <w:t>mission belong to cases 5 and 6. They can be solved based on existing mechanisms and have been determined not to be enhanced in the updated WID.</w:t>
      </w:r>
    </w:p>
    <w:p w:rsidR="008119DE" w:rsidRDefault="00591DA4">
      <w:pPr>
        <w:numPr>
          <w:ilvl w:val="0"/>
          <w:numId w:val="8"/>
        </w:numPr>
        <w:jc w:val="both"/>
        <w:rPr>
          <w:rFonts w:ascii="Times New Roman" w:hAnsi="Times New Roman" w:cs="Times New Roman"/>
          <w:bCs/>
          <w:sz w:val="20"/>
          <w:szCs w:val="20"/>
        </w:rPr>
      </w:pPr>
      <w:r>
        <w:rPr>
          <w:rFonts w:ascii="Times New Roman" w:hAnsi="Times New Roman" w:cs="Times New Roman" w:hint="eastAsia"/>
          <w:bCs/>
          <w:sz w:val="20"/>
          <w:szCs w:val="20"/>
        </w:rPr>
        <w:t>The priority of PDCCH reception configured by a</w:t>
      </w:r>
      <w:r>
        <w:rPr>
          <w:rFonts w:ascii="Times New Roman" w:hAnsi="Times New Roman" w:cs="Times New Roman"/>
          <w:bCs/>
          <w:sz w:val="20"/>
          <w:szCs w:val="20"/>
        </w:rPr>
        <w:t xml:space="preserve"> CSS set configuration (e.g., Type-0/0A/0B/1/2-PDCCH) is higher than </w:t>
      </w:r>
      <w:r>
        <w:rPr>
          <w:rFonts w:ascii="Times New Roman" w:hAnsi="Times New Roman" w:cs="Times New Roman" w:hint="eastAsia"/>
          <w:bCs/>
          <w:sz w:val="20"/>
          <w:szCs w:val="20"/>
        </w:rPr>
        <w:t xml:space="preserve">all </w:t>
      </w:r>
      <w:r>
        <w:rPr>
          <w:rFonts w:ascii="Times New Roman" w:hAnsi="Times New Roman" w:cs="Times New Roman"/>
          <w:bCs/>
          <w:sz w:val="20"/>
          <w:szCs w:val="20"/>
        </w:rPr>
        <w:t>semi-statically configured UL transmission</w:t>
      </w:r>
      <w:r>
        <w:rPr>
          <w:rFonts w:ascii="Times New Roman" w:hAnsi="Times New Roman" w:cs="Times New Roman" w:hint="eastAsia"/>
          <w:bCs/>
          <w:sz w:val="20"/>
          <w:szCs w:val="20"/>
        </w:rPr>
        <w:t>s</w:t>
      </w:r>
      <w:r>
        <w:rPr>
          <w:rFonts w:ascii="Times New Roman" w:hAnsi="Times New Roman" w:cs="Times New Roman"/>
          <w:bCs/>
          <w:sz w:val="20"/>
          <w:szCs w:val="20"/>
        </w:rPr>
        <w:t xml:space="preserve"> in a same time resource. The reason is that such PDCCH reception is generally related to the scheduling of system information and paging, s</w:t>
      </w:r>
      <w:r>
        <w:rPr>
          <w:rFonts w:ascii="Times New Roman" w:hAnsi="Times New Roman" w:cs="Times New Roman"/>
          <w:bCs/>
          <w:sz w:val="20"/>
          <w:szCs w:val="20"/>
        </w:rPr>
        <w:t>o it is necessary to prioritize the reception of this type of DL channels.</w:t>
      </w:r>
    </w:p>
    <w:p w:rsidR="008119DE" w:rsidRDefault="00591DA4">
      <w:pPr>
        <w:numPr>
          <w:ilvl w:val="0"/>
          <w:numId w:val="8"/>
        </w:numPr>
        <w:jc w:val="both"/>
        <w:rPr>
          <w:rFonts w:ascii="Times New Roman" w:hAnsi="Times New Roman" w:cs="Times New Roman"/>
          <w:bCs/>
          <w:sz w:val="20"/>
          <w:szCs w:val="20"/>
        </w:rPr>
      </w:pPr>
      <w:r>
        <w:rPr>
          <w:rFonts w:ascii="Times New Roman" w:hAnsi="Times New Roman" w:cs="Times New Roman" w:hint="eastAsia"/>
          <w:bCs/>
          <w:sz w:val="20"/>
          <w:szCs w:val="20"/>
        </w:rPr>
        <w:t xml:space="preserve">For other semi-statically configured DL receptions and UL transmissions in case 3, the UE can also make decisions based on its implementation. However, considering that in most use </w:t>
      </w:r>
      <w:r>
        <w:rPr>
          <w:rFonts w:ascii="Times New Roman" w:hAnsi="Times New Roman" w:cs="Times New Roman" w:hint="eastAsia"/>
          <w:bCs/>
          <w:sz w:val="20"/>
          <w:szCs w:val="20"/>
        </w:rPr>
        <w:t>cases of (e)RedCap UE, the importance of UL transmission may be greater than DL reception, it is also acceptable for RAN1 to define that the priority of UL transmission is greater than that of DL reception.</w:t>
      </w:r>
    </w:p>
    <w:p w:rsidR="00DB111A" w:rsidRDefault="00DB111A" w:rsidP="00C471B5">
      <w:pPr>
        <w:jc w:val="both"/>
        <w:rPr>
          <w:rFonts w:ascii="Times New Roman" w:hAnsi="Times New Roman" w:cs="Times New Roman"/>
          <w:bCs/>
          <w:sz w:val="20"/>
          <w:szCs w:val="20"/>
        </w:rPr>
      </w:pPr>
      <w:r>
        <w:rPr>
          <w:rFonts w:ascii="Times New Roman" w:hAnsi="Times New Roman" w:cs="Times New Roman"/>
          <w:bCs/>
          <w:sz w:val="20"/>
          <w:szCs w:val="20"/>
        </w:rPr>
        <w:t>It should be noticed that, comparing with the solution to enable the configurability of the priority, the fixed approach will simply the processing at both gNB and UE side</w:t>
      </w:r>
      <w:r w:rsidR="0023770D">
        <w:rPr>
          <w:rFonts w:ascii="Times New Roman" w:hAnsi="Times New Roman" w:cs="Times New Roman"/>
          <w:bCs/>
          <w:sz w:val="20"/>
          <w:szCs w:val="20"/>
        </w:rPr>
        <w:t xml:space="preserve"> with reduced </w:t>
      </w:r>
      <w:r w:rsidR="0023770D">
        <w:rPr>
          <w:rFonts w:ascii="Times New Roman" w:hAnsi="Times New Roman" w:cs="Times New Roman" w:hint="eastAsia"/>
          <w:bCs/>
          <w:sz w:val="20"/>
          <w:szCs w:val="20"/>
        </w:rPr>
        <w:t>hypothesis</w:t>
      </w:r>
      <w:r w:rsidR="0023770D">
        <w:rPr>
          <w:rFonts w:ascii="Times New Roman" w:hAnsi="Times New Roman" w:cs="Times New Roman"/>
          <w:bCs/>
          <w:sz w:val="20"/>
          <w:szCs w:val="20"/>
        </w:rPr>
        <w:t>.</w:t>
      </w:r>
      <w:bookmarkStart w:id="4" w:name="_GoBack"/>
      <w:bookmarkEnd w:id="4"/>
    </w:p>
    <w:p w:rsidR="008119DE" w:rsidRDefault="00591DA4">
      <w:pPr>
        <w:jc w:val="both"/>
        <w:rPr>
          <w:rFonts w:ascii="Times New Roman" w:hAnsi="Times New Roman" w:cs="Times New Roman"/>
          <w:bCs/>
          <w:sz w:val="20"/>
          <w:szCs w:val="20"/>
        </w:rPr>
      </w:pPr>
      <w:r>
        <w:rPr>
          <w:rFonts w:ascii="Times New Roman" w:hAnsi="Times New Roman" w:cs="Times New Roman" w:hint="eastAsia"/>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The benefits derived from TA repor</w:t>
      </w:r>
      <w:r>
        <w:rPr>
          <w:rFonts w:ascii="Times New Roman" w:hAnsi="Times New Roman" w:cs="Times New Roman" w:hint="eastAsia"/>
          <w:bCs/>
          <w:i/>
          <w:iCs/>
          <w:sz w:val="20"/>
          <w:szCs w:val="20"/>
        </w:rPr>
        <w:t>t enhancements are less pronounced in addressing case 3 as compared to case 4 d</w:t>
      </w:r>
      <w:r>
        <w:rPr>
          <w:rFonts w:ascii="Times New Roman" w:hAnsi="Times New Roman" w:cs="Times New Roman" w:hint="eastAsia"/>
          <w:bCs/>
          <w:i/>
          <w:iCs/>
          <w:sz w:val="20"/>
          <w:szCs w:val="20"/>
        </w:rPr>
        <w:t>ue to the impracticality of frequent reconfiguration for semi-statically configured transmission/</w:t>
      </w:r>
      <w:r>
        <w:rPr>
          <w:rFonts w:ascii="Times New Roman" w:hAnsi="Times New Roman" w:cs="Times New Roman" w:hint="eastAsia"/>
          <w:bCs/>
          <w:i/>
          <w:iCs/>
          <w:sz w:val="20"/>
          <w:szCs w:val="20"/>
        </w:rPr>
        <w:t xml:space="preserve"> </w:t>
      </w:r>
      <w:r>
        <w:rPr>
          <w:rFonts w:ascii="Times New Roman" w:hAnsi="Times New Roman" w:cs="Times New Roman" w:hint="eastAsia"/>
          <w:bCs/>
          <w:i/>
          <w:iCs/>
          <w:sz w:val="20"/>
          <w:szCs w:val="20"/>
        </w:rPr>
        <w:t>reception</w:t>
      </w:r>
      <w:r>
        <w:rPr>
          <w:rFonts w:ascii="Times New Roman" w:hAnsi="Times New Roman" w:cs="Times New Roman" w:hint="eastAsia"/>
          <w:bCs/>
          <w:i/>
          <w:iCs/>
          <w:sz w:val="20"/>
          <w:szCs w:val="20"/>
        </w:rPr>
        <w:t>.</w:t>
      </w:r>
    </w:p>
    <w:p w:rsidR="008119DE" w:rsidRDefault="00591DA4">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case 3, RAN1 can </w:t>
      </w:r>
      <w:r>
        <w:rPr>
          <w:rFonts w:ascii="Times New Roman" w:hAnsi="Times New Roman" w:cs="Times New Roman"/>
          <w:bCs/>
          <w:i/>
          <w:iCs/>
          <w:sz w:val="20"/>
          <w:szCs w:val="20"/>
        </w:rPr>
        <w:t xml:space="preserve">additionally </w:t>
      </w:r>
      <w:r>
        <w:rPr>
          <w:rFonts w:ascii="Times New Roman" w:hAnsi="Times New Roman" w:cs="Times New Roman" w:hint="eastAsia"/>
          <w:bCs/>
          <w:i/>
          <w:iCs/>
          <w:sz w:val="20"/>
          <w:szCs w:val="20"/>
        </w:rPr>
        <w:t>de</w:t>
      </w:r>
      <w:r>
        <w:rPr>
          <w:rFonts w:ascii="Times New Roman" w:hAnsi="Times New Roman" w:cs="Times New Roman"/>
          <w:bCs/>
          <w:i/>
          <w:iCs/>
          <w:sz w:val="20"/>
          <w:szCs w:val="20"/>
        </w:rPr>
        <w:t xml:space="preserve">fine following </w:t>
      </w:r>
      <w:r>
        <w:rPr>
          <w:rFonts w:ascii="Times New Roman" w:hAnsi="Times New Roman" w:cs="Times New Roman" w:hint="eastAsia"/>
          <w:bCs/>
          <w:i/>
          <w:iCs/>
          <w:sz w:val="20"/>
          <w:szCs w:val="20"/>
        </w:rPr>
        <w:t>rules</w:t>
      </w:r>
      <w:r>
        <w:rPr>
          <w:rFonts w:ascii="Times New Roman" w:hAnsi="Times New Roman" w:cs="Times New Roman" w:hint="eastAsia"/>
          <w:bCs/>
          <w:i/>
          <w:iCs/>
          <w:sz w:val="20"/>
          <w:szCs w:val="20"/>
        </w:rPr>
        <w:t xml:space="preserve"> </w:t>
      </w:r>
      <w:r>
        <w:rPr>
          <w:rFonts w:ascii="Times New Roman" w:hAnsi="Times New Roman" w:cs="Times New Roman"/>
          <w:bCs/>
          <w:i/>
          <w:iCs/>
          <w:sz w:val="20"/>
          <w:szCs w:val="20"/>
        </w:rPr>
        <w:t>to address the collision between semi-statically configured DL reception vs. UL transmission case by case:</w:t>
      </w:r>
    </w:p>
    <w:p w:rsidR="008119DE" w:rsidRDefault="00591DA4">
      <w:pPr>
        <w:numPr>
          <w:ilvl w:val="0"/>
          <w:numId w:val="8"/>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collision with </w:t>
      </w:r>
      <w:r>
        <w:rPr>
          <w:rFonts w:ascii="Times New Roman" w:hAnsi="Times New Roman" w:cs="Times New Roman" w:hint="eastAsia"/>
          <w:bCs/>
          <w:i/>
          <w:sz w:val="20"/>
          <w:szCs w:val="20"/>
        </w:rPr>
        <w:t>PDCCH reception</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configured by a</w:t>
      </w:r>
      <w:r>
        <w:rPr>
          <w:rFonts w:ascii="Times New Roman" w:hAnsi="Times New Roman" w:cs="Times New Roman"/>
          <w:bCs/>
          <w:i/>
          <w:sz w:val="20"/>
          <w:szCs w:val="20"/>
        </w:rPr>
        <w:t xml:space="preserve"> CSS set configuration vs semi-statically configured UL transmission</w:t>
      </w:r>
      <w:r>
        <w:rPr>
          <w:rFonts w:ascii="Times New Roman" w:hAnsi="Times New Roman" w:cs="Times New Roman" w:hint="eastAsia"/>
          <w:bCs/>
          <w:i/>
          <w:sz w:val="20"/>
          <w:szCs w:val="20"/>
        </w:rPr>
        <w:t>s</w:t>
      </w:r>
      <w:r>
        <w:rPr>
          <w:rFonts w:ascii="Times New Roman" w:hAnsi="Times New Roman" w:cs="Times New Roman"/>
          <w:bCs/>
          <w:i/>
          <w:sz w:val="20"/>
          <w:szCs w:val="20"/>
        </w:rPr>
        <w:t xml:space="preserve">: prioritize the </w:t>
      </w:r>
      <w:r>
        <w:rPr>
          <w:rFonts w:ascii="Times New Roman" w:hAnsi="Times New Roman" w:cs="Times New Roman"/>
          <w:bCs/>
          <w:i/>
          <w:sz w:val="20"/>
          <w:szCs w:val="20"/>
        </w:rPr>
        <w:t>reception of this type of DL channels</w:t>
      </w:r>
    </w:p>
    <w:p w:rsidR="008119DE" w:rsidRDefault="00591DA4">
      <w:pPr>
        <w:numPr>
          <w:ilvl w:val="0"/>
          <w:numId w:val="8"/>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other collision, it’s up to </w:t>
      </w:r>
      <w:r>
        <w:rPr>
          <w:rFonts w:ascii="Times New Roman" w:hAnsi="Times New Roman" w:cs="Times New Roman" w:hint="eastAsia"/>
          <w:bCs/>
          <w:i/>
          <w:sz w:val="20"/>
          <w:szCs w:val="20"/>
        </w:rPr>
        <w:t>UE</w:t>
      </w:r>
      <w:r>
        <w:rPr>
          <w:rFonts w:ascii="Times New Roman" w:hAnsi="Times New Roman" w:cs="Times New Roman"/>
          <w:bCs/>
          <w:i/>
          <w:sz w:val="20"/>
          <w:szCs w:val="20"/>
        </w:rPr>
        <w:t xml:space="preserve">’s </w:t>
      </w:r>
      <w:r>
        <w:rPr>
          <w:rFonts w:ascii="Times New Roman" w:hAnsi="Times New Roman" w:cs="Times New Roman" w:hint="eastAsia"/>
          <w:bCs/>
          <w:i/>
          <w:sz w:val="20"/>
          <w:szCs w:val="20"/>
        </w:rPr>
        <w:t>implementation.</w:t>
      </w:r>
    </w:p>
    <w:p w:rsidR="008119DE" w:rsidRDefault="00591DA4">
      <w:pPr>
        <w:spacing w:before="160" w:line="260" w:lineRule="auto"/>
        <w:jc w:val="both"/>
        <w:rPr>
          <w:rFonts w:ascii="Times New Roman" w:hAnsi="Times New Roman" w:cs="Times New Roman"/>
          <w:bCs/>
          <w:i/>
          <w:sz w:val="20"/>
          <w:szCs w:val="20"/>
        </w:rPr>
      </w:pPr>
      <w:r>
        <w:rPr>
          <w:rFonts w:ascii="Times New Roman" w:hAnsi="Times New Roman" w:cs="Times New Roman" w:hint="eastAsia"/>
          <w:bCs/>
          <w:sz w:val="20"/>
          <w:szCs w:val="20"/>
        </w:rPr>
        <w:t>For other solutions provided in [2], e.g., based on network</w:t>
      </w:r>
      <w:r>
        <w:rPr>
          <w:rFonts w:ascii="Times New Roman" w:hAnsi="Times New Roman" w:cs="Times New Roman"/>
          <w:bCs/>
          <w:sz w:val="20"/>
          <w:szCs w:val="20"/>
        </w:rPr>
        <w:t>’</w:t>
      </w:r>
      <w:r>
        <w:rPr>
          <w:rFonts w:ascii="Times New Roman" w:hAnsi="Times New Roman" w:cs="Times New Roman" w:hint="eastAsia"/>
          <w:bCs/>
          <w:sz w:val="20"/>
          <w:szCs w:val="20"/>
        </w:rPr>
        <w:t>s indication or specifying one direction with higher priority, they either introduce greater signalin</w:t>
      </w:r>
      <w:r>
        <w:rPr>
          <w:rFonts w:ascii="Times New Roman" w:hAnsi="Times New Roman" w:cs="Times New Roman" w:hint="eastAsia"/>
          <w:bCs/>
          <w:sz w:val="20"/>
          <w:szCs w:val="20"/>
        </w:rPr>
        <w:t>g overhead, higher specification impacts, or lose flexibility. Also, no significant gain of these solutions can be seen compared to above proposed solution.</w:t>
      </w:r>
    </w:p>
    <w:p w:rsidR="008119DE" w:rsidRDefault="00591DA4">
      <w:pPr>
        <w:pStyle w:val="1"/>
        <w:keepNext w:val="0"/>
        <w:keepLines w:val="0"/>
        <w:widowControl w:val="0"/>
        <w:numPr>
          <w:ilvl w:val="0"/>
          <w:numId w:val="3"/>
        </w:numPr>
        <w:pBdr>
          <w:top w:val="none" w:sz="0" w:space="0" w:color="auto"/>
        </w:pBdr>
        <w:tabs>
          <w:tab w:val="left" w:pos="432"/>
        </w:tabs>
        <w:overflowPunct/>
        <w:snapToGrid w:val="0"/>
        <w:spacing w:beforeLines="100" w:afterLines="50" w:after="120" w:line="260" w:lineRule="auto"/>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8119DE" w:rsidRDefault="00591DA4">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r>
        <w:rPr>
          <w:rFonts w:ascii="Times New Roman" w:eastAsia="宋体" w:hAnsi="Times New Roman" w:cs="Times New Roman" w:hint="eastAsia"/>
          <w:sz w:val="20"/>
          <w:szCs w:val="20"/>
        </w:rPr>
        <w:t>:</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8119DE" w:rsidRDefault="00591DA4">
      <w:pPr>
        <w:jc w:val="both"/>
        <w:rPr>
          <w:rFonts w:ascii="Times New Roman" w:hAnsi="Times New Roman" w:cs="Times New Roman"/>
          <w:bCs/>
          <w:i/>
          <w:iCs/>
          <w:sz w:val="20"/>
          <w:szCs w:val="20"/>
        </w:rPr>
      </w:pPr>
      <w:r>
        <w:rPr>
          <w:rFonts w:ascii="Times New Roman" w:hAnsi="Times New Roman" w:cs="Times New Roman" w:hint="eastAsia"/>
          <w:b/>
          <w:i/>
          <w:iCs/>
          <w:sz w:val="20"/>
          <w:szCs w:val="20"/>
        </w:rPr>
        <w:t>Observation 2</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case 4, the collisions between DL reception and UL transmission can be mitigated </w:t>
      </w:r>
      <w:r>
        <w:rPr>
          <w:rFonts w:ascii="Times New Roman" w:hAnsi="Times New Roman" w:cs="Times New Roman" w:hint="eastAsia"/>
          <w:i/>
          <w:iCs/>
          <w:sz w:val="20"/>
          <w:szCs w:val="20"/>
        </w:rPr>
        <w:t xml:space="preserve">to the greatest extent possible </w:t>
      </w:r>
      <w:r>
        <w:rPr>
          <w:rFonts w:ascii="Times New Roman" w:hAnsi="Times New Roman" w:cs="Times New Roman" w:hint="eastAsia"/>
          <w:bCs/>
          <w:i/>
          <w:iCs/>
          <w:sz w:val="20"/>
          <w:szCs w:val="20"/>
        </w:rPr>
        <w:t>relying on above TA report enhancements and gNB</w:t>
      </w:r>
      <w:r>
        <w:rPr>
          <w:rFonts w:ascii="Times New Roman" w:hAnsi="Times New Roman" w:cs="Times New Roman"/>
          <w:bCs/>
          <w:i/>
          <w:iCs/>
          <w:sz w:val="20"/>
          <w:szCs w:val="20"/>
        </w:rPr>
        <w:t>’</w:t>
      </w:r>
      <w:r>
        <w:rPr>
          <w:rFonts w:ascii="Times New Roman" w:hAnsi="Times New Roman" w:cs="Times New Roman" w:hint="eastAsia"/>
          <w:bCs/>
          <w:i/>
          <w:iCs/>
          <w:sz w:val="20"/>
          <w:szCs w:val="20"/>
        </w:rPr>
        <w:t>s dynamic scheduling.</w:t>
      </w:r>
    </w:p>
    <w:p w:rsidR="008119DE" w:rsidRDefault="00591DA4">
      <w:pPr>
        <w:jc w:val="both"/>
        <w:rPr>
          <w:rFonts w:ascii="Times New Roman" w:hAnsi="Times New Roman" w:cs="Times New Roman"/>
          <w:bCs/>
          <w:sz w:val="20"/>
          <w:szCs w:val="20"/>
        </w:rPr>
      </w:pPr>
      <w:r>
        <w:rPr>
          <w:rFonts w:ascii="Times New Roman" w:hAnsi="Times New Roman" w:cs="Times New Roman" w:hint="eastAsia"/>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The benefits derived from TA report enhancements are l</w:t>
      </w:r>
      <w:r>
        <w:rPr>
          <w:rFonts w:ascii="Times New Roman" w:hAnsi="Times New Roman" w:cs="Times New Roman" w:hint="eastAsia"/>
          <w:bCs/>
          <w:i/>
          <w:iCs/>
          <w:sz w:val="20"/>
          <w:szCs w:val="20"/>
        </w:rPr>
        <w:t>ess pronounced in addressing case 3 as compared to case 4 d</w:t>
      </w:r>
      <w:r>
        <w:rPr>
          <w:rFonts w:ascii="Times New Roman" w:hAnsi="Times New Roman" w:cs="Times New Roman" w:hint="eastAsia"/>
          <w:bCs/>
          <w:i/>
          <w:iCs/>
          <w:sz w:val="20"/>
          <w:szCs w:val="20"/>
        </w:rPr>
        <w:t>ue to the impracticality of frequent reconfiguration for semi-statically configured transmission/</w:t>
      </w:r>
      <w:r>
        <w:rPr>
          <w:rFonts w:ascii="Times New Roman" w:hAnsi="Times New Roman" w:cs="Times New Roman" w:hint="eastAsia"/>
          <w:bCs/>
          <w:i/>
          <w:iCs/>
          <w:sz w:val="20"/>
          <w:szCs w:val="20"/>
        </w:rPr>
        <w:t xml:space="preserve"> </w:t>
      </w:r>
      <w:r>
        <w:rPr>
          <w:rFonts w:ascii="Times New Roman" w:hAnsi="Times New Roman" w:cs="Times New Roman" w:hint="eastAsia"/>
          <w:bCs/>
          <w:i/>
          <w:iCs/>
          <w:sz w:val="20"/>
          <w:szCs w:val="20"/>
        </w:rPr>
        <w:t>reception</w:t>
      </w:r>
      <w:r>
        <w:rPr>
          <w:rFonts w:ascii="Times New Roman" w:hAnsi="Times New Roman" w:cs="Times New Roman" w:hint="eastAsia"/>
          <w:bCs/>
          <w:i/>
          <w:iCs/>
          <w:sz w:val="20"/>
          <w:szCs w:val="20"/>
        </w:rPr>
        <w:t>.</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8119DE" w:rsidRDefault="00591DA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2</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w:t>
      </w:r>
      <w:r>
        <w:rPr>
          <w:rFonts w:ascii="Times New Roman" w:hAnsi="Times New Roman" w:cs="Times New Roman"/>
          <w:bCs/>
          <w:i/>
          <w:iCs/>
          <w:sz w:val="20"/>
          <w:szCs w:val="20"/>
        </w:rPr>
        <w:t>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8119DE" w:rsidRDefault="00591DA4">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 xml:space="preserve">Opt 1: The gNB </w:t>
      </w:r>
      <w:r>
        <w:rPr>
          <w:rFonts w:ascii="Times New Roman" w:hAnsi="Times New Roman" w:cs="Times New Roman" w:hint="eastAsia"/>
          <w:i/>
          <w:iCs/>
          <w:sz w:val="20"/>
          <w:szCs w:val="20"/>
        </w:rPr>
        <w:t xml:space="preserve">configures the </w:t>
      </w:r>
      <w:r>
        <w:rPr>
          <w:rFonts w:ascii="Times New Roman" w:hAnsi="Times New Roman" w:cs="Times New Roman" w:hint="eastAsia"/>
          <w:i/>
          <w:iCs/>
          <w:sz w:val="20"/>
          <w:szCs w:val="20"/>
        </w:rPr>
        <w:t>TA report granularity</w:t>
      </w:r>
    </w:p>
    <w:p w:rsidR="008119DE" w:rsidRDefault="00591DA4">
      <w:pPr>
        <w:numPr>
          <w:ilvl w:val="0"/>
          <w:numId w:val="7"/>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 2: The gNB</w:t>
      </w:r>
      <w:r>
        <w:rPr>
          <w:rFonts w:ascii="Times New Roman" w:hAnsi="Times New Roman" w:cs="Times New Roman" w:hint="eastAsia"/>
          <w:i/>
          <w:iCs/>
          <w:sz w:val="20"/>
          <w:szCs w:val="20"/>
        </w:rPr>
        <w:t>/</w:t>
      </w:r>
      <w:r>
        <w:rPr>
          <w:rFonts w:ascii="Times New Roman" w:hAnsi="Times New Roman" w:cs="Times New Roman" w:hint="eastAsia"/>
          <w:i/>
          <w:iCs/>
          <w:sz w:val="20"/>
          <w:szCs w:val="20"/>
        </w:rPr>
        <w:t>UE determines TA report granularity according to predefined rules</w:t>
      </w:r>
    </w:p>
    <w:p w:rsidR="008119DE" w:rsidRDefault="00591DA4">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 xml:space="preserve">s implementation and </w:t>
      </w:r>
      <w:r>
        <w:rPr>
          <w:rFonts w:ascii="Times New Roman" w:hAnsi="Times New Roman" w:cs="Times New Roman" w:hint="eastAsia"/>
          <w:i/>
          <w:iCs/>
          <w:sz w:val="20"/>
          <w:szCs w:val="20"/>
        </w:rPr>
        <w:t xml:space="preserve">then </w:t>
      </w:r>
      <w:r>
        <w:rPr>
          <w:rFonts w:ascii="Times New Roman" w:hAnsi="Times New Roman" w:cs="Times New Roman" w:hint="eastAsia"/>
          <w:i/>
          <w:iCs/>
          <w:sz w:val="20"/>
          <w:szCs w:val="20"/>
        </w:rPr>
        <w:t xml:space="preserve">indicates </w:t>
      </w:r>
      <w:r>
        <w:rPr>
          <w:rFonts w:ascii="Times New Roman" w:hAnsi="Times New Roman" w:cs="Times New Roman" w:hint="eastAsia"/>
          <w:i/>
          <w:iCs/>
          <w:sz w:val="20"/>
          <w:szCs w:val="20"/>
        </w:rPr>
        <w:t xml:space="preserve">the </w:t>
      </w:r>
      <w:r>
        <w:rPr>
          <w:rFonts w:ascii="Times New Roman" w:hAnsi="Times New Roman" w:cs="Times New Roman" w:hint="eastAsia"/>
          <w:i/>
          <w:iCs/>
          <w:sz w:val="20"/>
          <w:szCs w:val="20"/>
        </w:rPr>
        <w:t>TA report granularity to the gNB via MAC CE</w:t>
      </w:r>
      <w:r>
        <w:rPr>
          <w:rFonts w:ascii="Times New Roman" w:hAnsi="Times New Roman" w:cs="Times New Roman" w:hint="eastAsia"/>
          <w:i/>
          <w:iCs/>
          <w:sz w:val="20"/>
          <w:szCs w:val="20"/>
        </w:rPr>
        <w:t>.</w:t>
      </w:r>
    </w:p>
    <w:p w:rsidR="008119DE" w:rsidRDefault="00591DA4">
      <w:pPr>
        <w:jc w:val="both"/>
        <w:rPr>
          <w:rFonts w:ascii="Times New Roman" w:hAnsi="Times New Roman" w:cs="Times New Roman"/>
          <w:bCs/>
          <w:i/>
          <w:iCs/>
          <w:sz w:val="20"/>
          <w:szCs w:val="20"/>
        </w:rPr>
      </w:pPr>
      <w:r>
        <w:rPr>
          <w:rFonts w:ascii="Times New Roman" w:hAnsi="Times New Roman" w:cs="Times New Roman" w:hint="eastAsia"/>
          <w:b/>
          <w:i/>
          <w:iCs/>
          <w:sz w:val="20"/>
          <w:szCs w:val="20"/>
        </w:rPr>
        <w:t>Proposal 3:</w:t>
      </w:r>
      <w:r>
        <w:rPr>
          <w:rFonts w:ascii="Times New Roman" w:hAnsi="Times New Roman" w:cs="Times New Roman" w:hint="eastAsia"/>
          <w:bCs/>
          <w:i/>
          <w:iCs/>
          <w:sz w:val="20"/>
          <w:szCs w:val="20"/>
        </w:rPr>
        <w:t xml:space="preserve"> For case 4, t</w:t>
      </w:r>
      <w:r>
        <w:rPr>
          <w:rFonts w:ascii="Times New Roman" w:hAnsi="Times New Roman" w:cs="Times New Roman" w:hint="eastAsia"/>
          <w:i/>
          <w:iCs/>
          <w:sz w:val="20"/>
          <w:szCs w:val="20"/>
        </w:rPr>
        <w:t>he priority of dynamically triggered PRACH can be higher than dynamic DL reception.</w:t>
      </w:r>
    </w:p>
    <w:p w:rsidR="008119DE" w:rsidRDefault="00591DA4">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lastRenderedPageBreak/>
        <w:t xml:space="preserve">Proposal </w:t>
      </w:r>
      <w:r>
        <w:rPr>
          <w:rFonts w:ascii="Times New Roman" w:hAnsi="Times New Roman" w:cs="Times New Roman" w:hint="eastAsia"/>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case 3, RAN1 can </w:t>
      </w:r>
      <w:r>
        <w:rPr>
          <w:rFonts w:ascii="Times New Roman" w:hAnsi="Times New Roman" w:cs="Times New Roman"/>
          <w:bCs/>
          <w:i/>
          <w:iCs/>
          <w:sz w:val="20"/>
          <w:szCs w:val="20"/>
        </w:rPr>
        <w:t xml:space="preserve">additionally </w:t>
      </w:r>
      <w:r>
        <w:rPr>
          <w:rFonts w:ascii="Times New Roman" w:hAnsi="Times New Roman" w:cs="Times New Roman" w:hint="eastAsia"/>
          <w:bCs/>
          <w:i/>
          <w:iCs/>
          <w:sz w:val="20"/>
          <w:szCs w:val="20"/>
        </w:rPr>
        <w:t>de</w:t>
      </w:r>
      <w:r>
        <w:rPr>
          <w:rFonts w:ascii="Times New Roman" w:hAnsi="Times New Roman" w:cs="Times New Roman"/>
          <w:bCs/>
          <w:i/>
          <w:iCs/>
          <w:sz w:val="20"/>
          <w:szCs w:val="20"/>
        </w:rPr>
        <w:t xml:space="preserve">fine following </w:t>
      </w:r>
      <w:r>
        <w:rPr>
          <w:rFonts w:ascii="Times New Roman" w:hAnsi="Times New Roman" w:cs="Times New Roman" w:hint="eastAsia"/>
          <w:bCs/>
          <w:i/>
          <w:iCs/>
          <w:sz w:val="20"/>
          <w:szCs w:val="20"/>
        </w:rPr>
        <w:t xml:space="preserve">rules </w:t>
      </w:r>
      <w:r>
        <w:rPr>
          <w:rFonts w:ascii="Times New Roman" w:hAnsi="Times New Roman" w:cs="Times New Roman"/>
          <w:bCs/>
          <w:i/>
          <w:iCs/>
          <w:sz w:val="20"/>
          <w:szCs w:val="20"/>
        </w:rPr>
        <w:t xml:space="preserve">to address the </w:t>
      </w:r>
      <w:r>
        <w:rPr>
          <w:rFonts w:ascii="Times New Roman" w:hAnsi="Times New Roman" w:cs="Times New Roman"/>
          <w:bCs/>
          <w:i/>
          <w:iCs/>
          <w:sz w:val="20"/>
          <w:szCs w:val="20"/>
        </w:rPr>
        <w:t>collision between semi-statically configured DL reception vs. UL transmission case by case:</w:t>
      </w:r>
    </w:p>
    <w:p w:rsidR="008119DE" w:rsidRDefault="00591DA4">
      <w:pPr>
        <w:numPr>
          <w:ilvl w:val="0"/>
          <w:numId w:val="8"/>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collision with </w:t>
      </w:r>
      <w:r>
        <w:rPr>
          <w:rFonts w:ascii="Times New Roman" w:hAnsi="Times New Roman" w:cs="Times New Roman" w:hint="eastAsia"/>
          <w:bCs/>
          <w:i/>
          <w:sz w:val="20"/>
          <w:szCs w:val="20"/>
        </w:rPr>
        <w:t>PDCCH reception</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configured by a</w:t>
      </w:r>
      <w:r>
        <w:rPr>
          <w:rFonts w:ascii="Times New Roman" w:hAnsi="Times New Roman" w:cs="Times New Roman"/>
          <w:bCs/>
          <w:i/>
          <w:sz w:val="20"/>
          <w:szCs w:val="20"/>
        </w:rPr>
        <w:t xml:space="preserve"> CSS set configuration vs semi-statically configured UL transmission</w:t>
      </w:r>
      <w:r>
        <w:rPr>
          <w:rFonts w:ascii="Times New Roman" w:hAnsi="Times New Roman" w:cs="Times New Roman" w:hint="eastAsia"/>
          <w:bCs/>
          <w:i/>
          <w:sz w:val="20"/>
          <w:szCs w:val="20"/>
        </w:rPr>
        <w:t>s</w:t>
      </w:r>
      <w:r>
        <w:rPr>
          <w:rFonts w:ascii="Times New Roman" w:hAnsi="Times New Roman" w:cs="Times New Roman"/>
          <w:bCs/>
          <w:i/>
          <w:sz w:val="20"/>
          <w:szCs w:val="20"/>
        </w:rPr>
        <w:t>: prioritize the reception of this type o</w:t>
      </w:r>
      <w:r>
        <w:rPr>
          <w:rFonts w:ascii="Times New Roman" w:hAnsi="Times New Roman" w:cs="Times New Roman"/>
          <w:bCs/>
          <w:i/>
          <w:sz w:val="20"/>
          <w:szCs w:val="20"/>
        </w:rPr>
        <w:t>f DL channels</w:t>
      </w:r>
    </w:p>
    <w:p w:rsidR="008119DE" w:rsidRDefault="00591DA4">
      <w:pPr>
        <w:numPr>
          <w:ilvl w:val="0"/>
          <w:numId w:val="8"/>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other collision, it’s up to </w:t>
      </w:r>
      <w:r>
        <w:rPr>
          <w:rFonts w:ascii="Times New Roman" w:hAnsi="Times New Roman" w:cs="Times New Roman" w:hint="eastAsia"/>
          <w:bCs/>
          <w:i/>
          <w:sz w:val="20"/>
          <w:szCs w:val="20"/>
        </w:rPr>
        <w:t>UE</w:t>
      </w:r>
      <w:r>
        <w:rPr>
          <w:rFonts w:ascii="Times New Roman" w:hAnsi="Times New Roman" w:cs="Times New Roman"/>
          <w:bCs/>
          <w:i/>
          <w:sz w:val="20"/>
          <w:szCs w:val="20"/>
        </w:rPr>
        <w:t xml:space="preserve">’s </w:t>
      </w:r>
      <w:r>
        <w:rPr>
          <w:rFonts w:ascii="Times New Roman" w:hAnsi="Times New Roman" w:cs="Times New Roman" w:hint="eastAsia"/>
          <w:bCs/>
          <w:i/>
          <w:sz w:val="20"/>
          <w:szCs w:val="20"/>
        </w:rPr>
        <w:t>implementation.</w:t>
      </w:r>
    </w:p>
    <w:p w:rsidR="008119DE" w:rsidRDefault="00591DA4">
      <w:pPr>
        <w:pStyle w:val="1"/>
        <w:keepNext w:val="0"/>
        <w:keepLines w:val="0"/>
        <w:widowControl w:val="0"/>
        <w:numPr>
          <w:ilvl w:val="0"/>
          <w:numId w:val="0"/>
        </w:numPr>
        <w:pBdr>
          <w:top w:val="none" w:sz="0" w:space="0" w:color="auto"/>
        </w:pBdr>
        <w:tabs>
          <w:tab w:val="left" w:pos="432"/>
          <w:tab w:val="left" w:pos="2630"/>
        </w:tabs>
        <w:overflowPunct/>
        <w:snapToGrid w:val="0"/>
        <w:spacing w:beforeLines="100" w:afterLines="50" w:after="120" w:line="260" w:lineRule="auto"/>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8119DE" w:rsidRDefault="00591DA4">
      <w:pPr>
        <w:pStyle w:val="ListParagraph1"/>
        <w:numPr>
          <w:ilvl w:val="0"/>
          <w:numId w:val="9"/>
        </w:numPr>
        <w:spacing w:after="0" w:line="240" w:lineRule="auto"/>
        <w:ind w:left="505" w:hanging="505"/>
        <w:jc w:val="both"/>
        <w:rPr>
          <w:rFonts w:ascii="Times New Roman" w:hAnsi="Times New Roman" w:cs="Times New Roman"/>
          <w:sz w:val="20"/>
          <w:szCs w:val="20"/>
        </w:rPr>
      </w:pPr>
      <w:bookmarkStart w:id="5" w:name="_Ref2933"/>
      <w:bookmarkStart w:id="6" w:name="_Ref158015692"/>
      <w:bookmarkStart w:id="7" w:name="_Ref32552"/>
      <w:bookmarkStart w:id="8" w:name="_Ref10563"/>
      <w:r>
        <w:rPr>
          <w:rFonts w:ascii="Times New Roman" w:hAnsi="Times New Roman" w:cs="Times New Roman" w:hint="eastAsia"/>
          <w:sz w:val="20"/>
          <w:szCs w:val="20"/>
        </w:rPr>
        <w:t>RP-241667, Revised WID: Non-Terrestrial Networks (NTN) for NR Phase 3</w:t>
      </w:r>
      <w:r>
        <w:rPr>
          <w:rFonts w:ascii="Times New Roman" w:hAnsi="Times New Roman" w:cs="Times New Roman"/>
          <w:sz w:val="20"/>
          <w:szCs w:val="20"/>
        </w:rPr>
        <w:t>.</w:t>
      </w:r>
    </w:p>
    <w:p w:rsidR="008119DE" w:rsidRDefault="00591DA4">
      <w:pPr>
        <w:pStyle w:val="ListParagraph1"/>
        <w:numPr>
          <w:ilvl w:val="0"/>
          <w:numId w:val="9"/>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Draft_Minutes_report_RAN1#11</w:t>
      </w:r>
      <w:r>
        <w:rPr>
          <w:rFonts w:ascii="Times New Roman" w:hAnsi="Times New Roman" w:cs="Times New Roman" w:hint="eastAsia"/>
          <w:sz w:val="20"/>
          <w:szCs w:val="20"/>
        </w:rPr>
        <w:t>8</w:t>
      </w:r>
      <w:r>
        <w:rPr>
          <w:rFonts w:ascii="Times New Roman" w:hAnsi="Times New Roman" w:cs="Times New Roman" w:hint="eastAsia"/>
          <w:sz w:val="20"/>
          <w:szCs w:val="20"/>
        </w:rPr>
        <w:t>_v0</w:t>
      </w:r>
      <w:r>
        <w:rPr>
          <w:rFonts w:ascii="Times New Roman" w:hAnsi="Times New Roman" w:cs="Times New Roman" w:hint="eastAsia"/>
          <w:sz w:val="20"/>
          <w:szCs w:val="20"/>
        </w:rPr>
        <w:t>1</w:t>
      </w:r>
      <w:r>
        <w:rPr>
          <w:rFonts w:ascii="Times New Roman" w:hAnsi="Times New Roman" w:cs="Times New Roman" w:hint="eastAsia"/>
          <w:sz w:val="20"/>
          <w:szCs w:val="20"/>
        </w:rPr>
        <w:t>0</w:t>
      </w:r>
      <w:r>
        <w:rPr>
          <w:rFonts w:ascii="Times New Roman" w:hAnsi="Times New Roman" w:cs="Times New Roman" w:hint="eastAsia"/>
          <w:sz w:val="20"/>
          <w:szCs w:val="20"/>
        </w:rPr>
        <w:t>.</w:t>
      </w:r>
    </w:p>
    <w:p w:rsidR="008119DE" w:rsidRDefault="00591DA4">
      <w:pPr>
        <w:pStyle w:val="ListParagraph1"/>
        <w:numPr>
          <w:ilvl w:val="0"/>
          <w:numId w:val="9"/>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Discussion on support of RedCap/eRedCap UEs for NR NTN</w:t>
      </w:r>
      <w:r>
        <w:rPr>
          <w:rFonts w:ascii="Times New Roman" w:hAnsi="Times New Roman" w:cs="Times New Roman" w:hint="eastAsia"/>
          <w:sz w:val="20"/>
          <w:szCs w:val="20"/>
        </w:rPr>
        <w:t>,</w:t>
      </w:r>
      <w:r>
        <w:rPr>
          <w:rFonts w:ascii="Times New Roman" w:hAnsi="Times New Roman" w:cs="Times New Roman" w:hint="eastAsia"/>
          <w:sz w:val="20"/>
          <w:szCs w:val="20"/>
        </w:rPr>
        <w:t xml:space="preserve"> ZTE</w:t>
      </w:r>
      <w:r>
        <w:rPr>
          <w:rFonts w:ascii="Times New Roman" w:hAnsi="Times New Roman" w:cs="Times New Roman" w:hint="eastAsia"/>
          <w:sz w:val="20"/>
          <w:szCs w:val="20"/>
        </w:rPr>
        <w:t>.</w:t>
      </w:r>
    </w:p>
    <w:bookmarkEnd w:id="5"/>
    <w:bookmarkEnd w:id="6"/>
    <w:bookmarkEnd w:id="7"/>
    <w:bookmarkEnd w:id="8"/>
    <w:p w:rsidR="008119DE" w:rsidRDefault="008119DE">
      <w:pPr>
        <w:pStyle w:val="ListParagraph1"/>
        <w:numPr>
          <w:ilvl w:val="255"/>
          <w:numId w:val="0"/>
        </w:numPr>
        <w:spacing w:after="0" w:line="240" w:lineRule="auto"/>
        <w:ind w:left="720"/>
        <w:rPr>
          <w:rFonts w:ascii="Times New Roman" w:hAnsi="Times New Roman" w:cs="Times New Roman"/>
          <w:sz w:val="20"/>
          <w:szCs w:val="20"/>
        </w:rPr>
      </w:pPr>
    </w:p>
    <w:sectPr w:rsidR="008119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DA4" w:rsidRDefault="00591DA4">
      <w:pPr>
        <w:spacing w:line="240" w:lineRule="auto"/>
      </w:pPr>
      <w:r>
        <w:separator/>
      </w:r>
    </w:p>
  </w:endnote>
  <w:endnote w:type="continuationSeparator" w:id="0">
    <w:p w:rsidR="00591DA4" w:rsidRDefault="00591D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DA4" w:rsidRDefault="00591DA4">
      <w:pPr>
        <w:spacing w:line="240" w:lineRule="auto"/>
      </w:pPr>
      <w:r>
        <w:separator/>
      </w:r>
    </w:p>
  </w:footnote>
  <w:footnote w:type="continuationSeparator" w:id="0">
    <w:p w:rsidR="00591DA4" w:rsidRDefault="00591DA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8946B2"/>
    <w:multiLevelType w:val="multilevel"/>
    <w:tmpl w:val="03894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E68FEE"/>
    <w:multiLevelType w:val="singleLevel"/>
    <w:tmpl w:val="3DE68FEE"/>
    <w:lvl w:ilvl="0">
      <w:start w:val="1"/>
      <w:numFmt w:val="bullet"/>
      <w:lvlText w:val=""/>
      <w:lvlJc w:val="left"/>
      <w:pPr>
        <w:ind w:left="420" w:hanging="420"/>
      </w:pPr>
      <w:rPr>
        <w:rFonts w:ascii="Wingdings" w:hAnsi="Wingdings" w:hint="default"/>
      </w:r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8" w15:restartNumberingAfterBreak="0">
    <w:nsid w:val="6FCC3B47"/>
    <w:multiLevelType w:val="singleLevel"/>
    <w:tmpl w:val="6FCC3B47"/>
    <w:lvl w:ilvl="0">
      <w:start w:val="1"/>
      <w:numFmt w:val="bullet"/>
      <w:lvlText w:val="·"/>
      <w:lvlJc w:val="left"/>
      <w:pPr>
        <w:ind w:left="420" w:hanging="420"/>
      </w:pPr>
      <w:rPr>
        <w:rFonts w:ascii="仿宋" w:eastAsia="仿宋" w:hAnsi="仿宋" w:cs="仿宋" w:hint="default"/>
      </w:r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D91E0"/>
    <w:rsid w:val="B7EF8654"/>
    <w:rsid w:val="BBED1BC1"/>
    <w:rsid w:val="D2F717D9"/>
    <w:rsid w:val="D9B412FC"/>
    <w:rsid w:val="DAC7ADD4"/>
    <w:rsid w:val="DB5DFF66"/>
    <w:rsid w:val="DB6D2D51"/>
    <w:rsid w:val="DE7F0A0C"/>
    <w:rsid w:val="E6F7524B"/>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70D"/>
    <w:rsid w:val="00237CB6"/>
    <w:rsid w:val="00245E67"/>
    <w:rsid w:val="00251EB0"/>
    <w:rsid w:val="00255736"/>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9CF"/>
    <w:rsid w:val="00462D69"/>
    <w:rsid w:val="004637DB"/>
    <w:rsid w:val="004648DB"/>
    <w:rsid w:val="00465488"/>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1DA4"/>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58B4"/>
    <w:rsid w:val="007E6570"/>
    <w:rsid w:val="007F4B43"/>
    <w:rsid w:val="00800BA1"/>
    <w:rsid w:val="008042FC"/>
    <w:rsid w:val="00804A83"/>
    <w:rsid w:val="00805812"/>
    <w:rsid w:val="00806A22"/>
    <w:rsid w:val="008119DE"/>
    <w:rsid w:val="00812F10"/>
    <w:rsid w:val="00817C79"/>
    <w:rsid w:val="00821AC3"/>
    <w:rsid w:val="00824CF8"/>
    <w:rsid w:val="00826696"/>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D0E3E"/>
    <w:rsid w:val="00BD3651"/>
    <w:rsid w:val="00BE0DCD"/>
    <w:rsid w:val="00BE3BFA"/>
    <w:rsid w:val="00BE48CE"/>
    <w:rsid w:val="00BF05A0"/>
    <w:rsid w:val="00BF0B5A"/>
    <w:rsid w:val="00BF2428"/>
    <w:rsid w:val="00BF3D4A"/>
    <w:rsid w:val="00BF43B6"/>
    <w:rsid w:val="00BF5F5B"/>
    <w:rsid w:val="00C03206"/>
    <w:rsid w:val="00C0413B"/>
    <w:rsid w:val="00C077BF"/>
    <w:rsid w:val="00C108AB"/>
    <w:rsid w:val="00C16EF6"/>
    <w:rsid w:val="00C2140B"/>
    <w:rsid w:val="00C24D89"/>
    <w:rsid w:val="00C261AC"/>
    <w:rsid w:val="00C308DF"/>
    <w:rsid w:val="00C3210B"/>
    <w:rsid w:val="00C35688"/>
    <w:rsid w:val="00C40234"/>
    <w:rsid w:val="00C42067"/>
    <w:rsid w:val="00C429B7"/>
    <w:rsid w:val="00C447D2"/>
    <w:rsid w:val="00C45A1E"/>
    <w:rsid w:val="00C471B5"/>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1BE8"/>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111A"/>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975E8C"/>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3FFD83F9"/>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D6E01C"/>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BCE23F"/>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E54C45"/>
    <w:rsid w:val="79EFF7E6"/>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DED36F1"/>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B24E"/>
  <w15:docId w15:val="{1076F021-E09D-4C8F-AB49-FC209758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2024</Words>
  <Characters>11538</Characters>
  <Application>Microsoft Office Word</Application>
  <DocSecurity>0</DocSecurity>
  <Lines>96</Lines>
  <Paragraphs>27</Paragraphs>
  <ScaleCrop>false</ScaleCrop>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43</cp:revision>
  <dcterms:created xsi:type="dcterms:W3CDTF">2024-05-09T16:25:00Z</dcterms:created>
  <dcterms:modified xsi:type="dcterms:W3CDTF">2024-09-29T06:34:00Z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